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6AE0" w14:textId="77777777" w:rsidR="003C22A7" w:rsidRDefault="00A449BF">
      <w:pPr>
        <w:jc w:val="center"/>
        <w:rPr>
          <w:rFonts w:eastAsia="隶书"/>
          <w:sz w:val="18"/>
        </w:rPr>
      </w:pPr>
      <w:r>
        <w:rPr>
          <w:rFonts w:eastAsia="隶书"/>
          <w:noProof/>
          <w:sz w:val="18"/>
        </w:rPr>
        <w:drawing>
          <wp:inline distT="0" distB="0" distL="0" distR="0" wp14:anchorId="47ABA8A0" wp14:editId="1F70E2B6">
            <wp:extent cx="1114425" cy="1057275"/>
            <wp:effectExtent l="0" t="0" r="0" b="0"/>
            <wp:docPr id="8" name="图片 1" descr="说明: u=1105129732,3204465030&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说明: u=1105129732,3204465030&amp;fm=21&amp;gp=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14425" cy="1057275"/>
                    </a:xfrm>
                    <a:prstGeom prst="rect">
                      <a:avLst/>
                    </a:prstGeom>
                    <a:noFill/>
                    <a:ln>
                      <a:noFill/>
                    </a:ln>
                  </pic:spPr>
                </pic:pic>
              </a:graphicData>
            </a:graphic>
          </wp:inline>
        </w:drawing>
      </w:r>
      <w:r>
        <w:rPr>
          <w:rFonts w:eastAsia="隶书"/>
          <w:sz w:val="18"/>
        </w:rPr>
        <w:object w:dxaOrig="5400" w:dyaOrig="1155" w14:anchorId="48B61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57.35pt" o:ole="">
            <v:imagedata r:id="rId9" o:title=""/>
          </v:shape>
          <o:OLEObject Type="Embed" ProgID="Word.Picture.8" ShapeID="_x0000_i1025" DrawAspect="Content" ObjectID="_1823454123" r:id="rId10"/>
        </w:object>
      </w:r>
    </w:p>
    <w:p w14:paraId="26F3B758" w14:textId="77777777" w:rsidR="003C22A7" w:rsidRDefault="003C22A7">
      <w:pPr>
        <w:spacing w:line="240" w:lineRule="atLeast"/>
        <w:jc w:val="center"/>
        <w:rPr>
          <w:rFonts w:ascii="黑体" w:eastAsia="黑体" w:hAnsi="黑体" w:hint="eastAsia"/>
          <w:b/>
          <w:sz w:val="72"/>
          <w:szCs w:val="72"/>
        </w:rPr>
      </w:pPr>
    </w:p>
    <w:p w14:paraId="6ECD65A3" w14:textId="77777777" w:rsidR="003C22A7" w:rsidRDefault="00A449BF">
      <w:pPr>
        <w:spacing w:line="240" w:lineRule="atLeast"/>
        <w:jc w:val="center"/>
        <w:rPr>
          <w:rFonts w:ascii="黑体" w:eastAsia="黑体" w:hAnsi="黑体" w:hint="eastAsia"/>
          <w:b/>
          <w:sz w:val="72"/>
          <w:szCs w:val="72"/>
        </w:rPr>
      </w:pPr>
      <w:r>
        <w:rPr>
          <w:rFonts w:ascii="黑体" w:eastAsia="黑体" w:hAnsi="黑体" w:hint="eastAsia"/>
          <w:b/>
          <w:sz w:val="72"/>
          <w:szCs w:val="72"/>
        </w:rPr>
        <w:t>实 验 报 告</w:t>
      </w:r>
    </w:p>
    <w:p w14:paraId="58C100AB" w14:textId="77777777" w:rsidR="003C22A7" w:rsidRDefault="003C22A7">
      <w:pPr>
        <w:spacing w:line="240" w:lineRule="atLeast"/>
        <w:jc w:val="center"/>
        <w:rPr>
          <w:rFonts w:ascii="黑体" w:eastAsia="黑体" w:hAnsi="黑体" w:hint="eastAsia"/>
          <w:b/>
          <w:sz w:val="72"/>
          <w:szCs w:val="72"/>
        </w:rPr>
      </w:pPr>
    </w:p>
    <w:p w14:paraId="7F439408" w14:textId="77777777" w:rsidR="003C22A7" w:rsidRDefault="003C22A7">
      <w:pPr>
        <w:jc w:val="center"/>
      </w:pPr>
    </w:p>
    <w:p w14:paraId="5E92F708" w14:textId="77777777" w:rsidR="003C22A7" w:rsidRDefault="003C22A7"/>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103"/>
      </w:tblGrid>
      <w:tr w:rsidR="003C22A7" w14:paraId="556E72B9" w14:textId="77777777">
        <w:trPr>
          <w:jc w:val="center"/>
        </w:trPr>
        <w:tc>
          <w:tcPr>
            <w:tcW w:w="2405" w:type="dxa"/>
          </w:tcPr>
          <w:p w14:paraId="471BDF1F" w14:textId="77777777" w:rsidR="003C22A7" w:rsidRDefault="00A449BF">
            <w:pPr>
              <w:jc w:val="center"/>
              <w:rPr>
                <w:rFonts w:ascii="黑体" w:eastAsia="黑体" w:hAnsi="黑体" w:hint="eastAsia"/>
                <w:sz w:val="32"/>
                <w:szCs w:val="32"/>
              </w:rPr>
            </w:pPr>
            <w:r>
              <w:rPr>
                <w:rFonts w:ascii="黑体" w:eastAsia="黑体" w:hAnsi="黑体" w:hint="eastAsia"/>
                <w:sz w:val="32"/>
                <w:szCs w:val="32"/>
              </w:rPr>
              <w:t>实 验 题 目</w:t>
            </w:r>
          </w:p>
        </w:tc>
        <w:tc>
          <w:tcPr>
            <w:tcW w:w="5103" w:type="dxa"/>
            <w:tcBorders>
              <w:bottom w:val="single" w:sz="4" w:space="0" w:color="auto"/>
            </w:tcBorders>
          </w:tcPr>
          <w:p w14:paraId="134B93B6" w14:textId="77777777" w:rsidR="003C22A7" w:rsidRDefault="00A449BF" w:rsidP="007D447D">
            <w:pPr>
              <w:jc w:val="center"/>
              <w:rPr>
                <w:rFonts w:ascii="黑体" w:eastAsia="黑体" w:hAnsi="黑体" w:hint="eastAsia"/>
                <w:sz w:val="32"/>
                <w:szCs w:val="32"/>
              </w:rPr>
            </w:pPr>
            <w:r>
              <w:t>基于支持向量机的分类方法研究路线</w:t>
            </w:r>
          </w:p>
        </w:tc>
      </w:tr>
      <w:tr w:rsidR="003C22A7" w14:paraId="1837AFA4" w14:textId="77777777">
        <w:trPr>
          <w:jc w:val="center"/>
        </w:trPr>
        <w:tc>
          <w:tcPr>
            <w:tcW w:w="2405" w:type="dxa"/>
          </w:tcPr>
          <w:p w14:paraId="09341999" w14:textId="77777777" w:rsidR="003C22A7" w:rsidRDefault="00A449BF">
            <w:pPr>
              <w:jc w:val="center"/>
              <w:rPr>
                <w:rFonts w:ascii="黑体" w:eastAsia="黑体" w:hAnsi="黑体" w:hint="eastAsia"/>
                <w:sz w:val="32"/>
                <w:szCs w:val="32"/>
              </w:rPr>
            </w:pPr>
            <w:r>
              <w:rPr>
                <w:rFonts w:ascii="黑体" w:eastAsia="黑体" w:hAnsi="黑体"/>
                <w:sz w:val="32"/>
                <w:szCs w:val="32"/>
              </w:rPr>
              <w:t>课       程</w:t>
            </w:r>
          </w:p>
        </w:tc>
        <w:tc>
          <w:tcPr>
            <w:tcW w:w="5103" w:type="dxa"/>
            <w:tcBorders>
              <w:top w:val="single" w:sz="4" w:space="0" w:color="auto"/>
              <w:bottom w:val="single" w:sz="4" w:space="0" w:color="auto"/>
            </w:tcBorders>
          </w:tcPr>
          <w:p w14:paraId="2EC6B5C2" w14:textId="77777777" w:rsidR="003C22A7" w:rsidRDefault="00A449BF">
            <w:pPr>
              <w:jc w:val="center"/>
              <w:rPr>
                <w:rFonts w:ascii="黑体" w:eastAsia="黑体" w:hAnsi="黑体" w:hint="eastAsia"/>
                <w:sz w:val="32"/>
                <w:szCs w:val="32"/>
              </w:rPr>
            </w:pPr>
            <w:r>
              <w:t>机器学习</w:t>
            </w:r>
          </w:p>
        </w:tc>
      </w:tr>
      <w:tr w:rsidR="003C22A7" w14:paraId="5AAB9C77" w14:textId="77777777">
        <w:trPr>
          <w:jc w:val="center"/>
        </w:trPr>
        <w:tc>
          <w:tcPr>
            <w:tcW w:w="2405" w:type="dxa"/>
          </w:tcPr>
          <w:p w14:paraId="2B59EA17" w14:textId="77777777" w:rsidR="003C22A7" w:rsidRDefault="00A449BF">
            <w:pPr>
              <w:jc w:val="center"/>
              <w:rPr>
                <w:rFonts w:ascii="黑体" w:eastAsia="黑体" w:hAnsi="黑体" w:hint="eastAsia"/>
                <w:sz w:val="32"/>
                <w:szCs w:val="32"/>
              </w:rPr>
            </w:pPr>
            <w:r>
              <w:rPr>
                <w:rFonts w:ascii="黑体" w:eastAsia="黑体" w:hAnsi="黑体"/>
                <w:sz w:val="32"/>
                <w:szCs w:val="32"/>
              </w:rPr>
              <w:t>专       业</w:t>
            </w:r>
          </w:p>
        </w:tc>
        <w:tc>
          <w:tcPr>
            <w:tcW w:w="5103" w:type="dxa"/>
            <w:tcBorders>
              <w:top w:val="single" w:sz="4" w:space="0" w:color="auto"/>
              <w:bottom w:val="single" w:sz="4" w:space="0" w:color="auto"/>
            </w:tcBorders>
          </w:tcPr>
          <w:p w14:paraId="33764115" w14:textId="77777777" w:rsidR="003C22A7" w:rsidRDefault="003C22A7">
            <w:pPr>
              <w:jc w:val="center"/>
              <w:rPr>
                <w:rFonts w:ascii="黑体" w:eastAsia="黑体" w:hAnsi="黑体" w:hint="eastAsia"/>
                <w:sz w:val="32"/>
                <w:szCs w:val="32"/>
              </w:rPr>
            </w:pPr>
          </w:p>
        </w:tc>
      </w:tr>
      <w:tr w:rsidR="003C22A7" w14:paraId="44AD09F2" w14:textId="77777777">
        <w:trPr>
          <w:jc w:val="center"/>
        </w:trPr>
        <w:tc>
          <w:tcPr>
            <w:tcW w:w="2405" w:type="dxa"/>
          </w:tcPr>
          <w:p w14:paraId="049E7945" w14:textId="77777777" w:rsidR="003C22A7" w:rsidRDefault="00A449BF">
            <w:pPr>
              <w:jc w:val="center"/>
              <w:rPr>
                <w:rFonts w:ascii="黑体" w:eastAsia="黑体" w:hAnsi="黑体" w:hint="eastAsia"/>
                <w:sz w:val="32"/>
                <w:szCs w:val="32"/>
              </w:rPr>
            </w:pPr>
            <w:r>
              <w:rPr>
                <w:rFonts w:ascii="黑体" w:eastAsia="黑体" w:hAnsi="黑体"/>
                <w:sz w:val="32"/>
                <w:szCs w:val="32"/>
              </w:rPr>
              <w:t>班       级</w:t>
            </w:r>
          </w:p>
        </w:tc>
        <w:tc>
          <w:tcPr>
            <w:tcW w:w="5103" w:type="dxa"/>
            <w:tcBorders>
              <w:top w:val="single" w:sz="4" w:space="0" w:color="auto"/>
              <w:bottom w:val="single" w:sz="4" w:space="0" w:color="auto"/>
            </w:tcBorders>
          </w:tcPr>
          <w:p w14:paraId="4E9EFF18" w14:textId="77777777" w:rsidR="003C22A7" w:rsidRDefault="003C22A7">
            <w:pPr>
              <w:jc w:val="center"/>
              <w:rPr>
                <w:rFonts w:ascii="黑体" w:eastAsia="黑体" w:hAnsi="黑体" w:hint="eastAsia"/>
                <w:sz w:val="32"/>
                <w:szCs w:val="32"/>
              </w:rPr>
            </w:pPr>
          </w:p>
        </w:tc>
      </w:tr>
      <w:tr w:rsidR="003C22A7" w14:paraId="600ECFF6" w14:textId="77777777">
        <w:trPr>
          <w:jc w:val="center"/>
        </w:trPr>
        <w:tc>
          <w:tcPr>
            <w:tcW w:w="2405" w:type="dxa"/>
          </w:tcPr>
          <w:p w14:paraId="3D6354AB" w14:textId="77777777" w:rsidR="003C22A7" w:rsidRDefault="00A449BF">
            <w:pPr>
              <w:jc w:val="center"/>
              <w:rPr>
                <w:rFonts w:ascii="黑体" w:eastAsia="黑体" w:hAnsi="黑体" w:hint="eastAsia"/>
                <w:sz w:val="32"/>
                <w:szCs w:val="32"/>
              </w:rPr>
            </w:pPr>
            <w:r>
              <w:rPr>
                <w:rFonts w:ascii="黑体" w:eastAsia="黑体" w:hAnsi="黑体"/>
                <w:sz w:val="32"/>
                <w:szCs w:val="32"/>
              </w:rPr>
              <w:t>姓       名</w:t>
            </w:r>
          </w:p>
        </w:tc>
        <w:tc>
          <w:tcPr>
            <w:tcW w:w="5103" w:type="dxa"/>
            <w:tcBorders>
              <w:top w:val="single" w:sz="4" w:space="0" w:color="auto"/>
              <w:bottom w:val="single" w:sz="4" w:space="0" w:color="auto"/>
            </w:tcBorders>
          </w:tcPr>
          <w:p w14:paraId="26B3F01A" w14:textId="77777777" w:rsidR="003C22A7" w:rsidRDefault="003C22A7">
            <w:pPr>
              <w:jc w:val="center"/>
              <w:rPr>
                <w:rFonts w:ascii="黑体" w:eastAsia="黑体" w:hAnsi="黑体" w:hint="eastAsia"/>
                <w:sz w:val="32"/>
                <w:szCs w:val="32"/>
              </w:rPr>
            </w:pPr>
          </w:p>
        </w:tc>
      </w:tr>
      <w:tr w:rsidR="003C22A7" w14:paraId="23F8FB46" w14:textId="77777777">
        <w:trPr>
          <w:jc w:val="center"/>
        </w:trPr>
        <w:tc>
          <w:tcPr>
            <w:tcW w:w="2405" w:type="dxa"/>
          </w:tcPr>
          <w:p w14:paraId="334D0B40" w14:textId="77777777" w:rsidR="003C22A7" w:rsidRDefault="00A449BF">
            <w:pPr>
              <w:jc w:val="center"/>
              <w:rPr>
                <w:rFonts w:ascii="黑体" w:eastAsia="黑体" w:hAnsi="黑体" w:hint="eastAsia"/>
                <w:sz w:val="32"/>
                <w:szCs w:val="32"/>
              </w:rPr>
            </w:pPr>
            <w:r>
              <w:rPr>
                <w:rFonts w:ascii="黑体" w:eastAsia="黑体" w:hAnsi="黑体"/>
                <w:sz w:val="32"/>
                <w:szCs w:val="32"/>
              </w:rPr>
              <w:t>学       号</w:t>
            </w:r>
          </w:p>
        </w:tc>
        <w:tc>
          <w:tcPr>
            <w:tcW w:w="5103" w:type="dxa"/>
            <w:tcBorders>
              <w:top w:val="single" w:sz="4" w:space="0" w:color="auto"/>
              <w:bottom w:val="single" w:sz="4" w:space="0" w:color="auto"/>
            </w:tcBorders>
          </w:tcPr>
          <w:p w14:paraId="2DB56BE5" w14:textId="77777777" w:rsidR="003C22A7" w:rsidRDefault="003C22A7">
            <w:pPr>
              <w:jc w:val="center"/>
              <w:rPr>
                <w:rFonts w:ascii="黑体" w:eastAsia="黑体" w:hAnsi="黑体" w:hint="eastAsia"/>
                <w:sz w:val="32"/>
                <w:szCs w:val="32"/>
              </w:rPr>
            </w:pPr>
          </w:p>
        </w:tc>
      </w:tr>
      <w:tr w:rsidR="003C22A7" w14:paraId="34BEF5D0" w14:textId="77777777">
        <w:trPr>
          <w:jc w:val="center"/>
        </w:trPr>
        <w:tc>
          <w:tcPr>
            <w:tcW w:w="2405" w:type="dxa"/>
          </w:tcPr>
          <w:p w14:paraId="21CC600F" w14:textId="77777777" w:rsidR="003C22A7" w:rsidRDefault="00A449BF">
            <w:pPr>
              <w:jc w:val="center"/>
              <w:rPr>
                <w:rFonts w:ascii="黑体" w:eastAsia="黑体" w:hAnsi="黑体" w:hint="eastAsia"/>
                <w:sz w:val="32"/>
                <w:szCs w:val="32"/>
              </w:rPr>
            </w:pPr>
            <w:r>
              <w:rPr>
                <w:rFonts w:ascii="黑体" w:eastAsia="黑体" w:hAnsi="黑体" w:hint="eastAsia"/>
                <w:sz w:val="32"/>
                <w:szCs w:val="32"/>
              </w:rPr>
              <w:t xml:space="preserve">分 </w:t>
            </w:r>
            <w:r>
              <w:rPr>
                <w:rFonts w:ascii="黑体" w:eastAsia="黑体" w:hAnsi="黑体"/>
                <w:sz w:val="32"/>
                <w:szCs w:val="32"/>
              </w:rPr>
              <w:t xml:space="preserve">      </w:t>
            </w:r>
            <w:r>
              <w:rPr>
                <w:rFonts w:ascii="黑体" w:eastAsia="黑体" w:hAnsi="黑体" w:hint="eastAsia"/>
                <w:sz w:val="32"/>
                <w:szCs w:val="32"/>
              </w:rPr>
              <w:t>数</w:t>
            </w:r>
          </w:p>
        </w:tc>
        <w:tc>
          <w:tcPr>
            <w:tcW w:w="5103" w:type="dxa"/>
            <w:tcBorders>
              <w:top w:val="single" w:sz="4" w:space="0" w:color="auto"/>
              <w:bottom w:val="single" w:sz="4" w:space="0" w:color="auto"/>
            </w:tcBorders>
          </w:tcPr>
          <w:p w14:paraId="388DD8B2" w14:textId="77777777" w:rsidR="003C22A7" w:rsidRDefault="003C22A7">
            <w:pPr>
              <w:jc w:val="center"/>
              <w:rPr>
                <w:rFonts w:ascii="黑体" w:eastAsia="黑体" w:hAnsi="黑体" w:hint="eastAsia"/>
                <w:sz w:val="32"/>
                <w:szCs w:val="32"/>
              </w:rPr>
            </w:pPr>
          </w:p>
        </w:tc>
      </w:tr>
      <w:tr w:rsidR="003C22A7" w14:paraId="667BA499" w14:textId="77777777">
        <w:trPr>
          <w:jc w:val="center"/>
        </w:trPr>
        <w:tc>
          <w:tcPr>
            <w:tcW w:w="2405" w:type="dxa"/>
          </w:tcPr>
          <w:p w14:paraId="1CE8FB8A" w14:textId="77777777" w:rsidR="003C22A7" w:rsidRDefault="00A449BF">
            <w:pPr>
              <w:jc w:val="center"/>
              <w:rPr>
                <w:rFonts w:ascii="黑体" w:eastAsia="黑体" w:hAnsi="黑体" w:hint="eastAsia"/>
                <w:sz w:val="32"/>
                <w:szCs w:val="32"/>
              </w:rPr>
            </w:pPr>
            <w:r>
              <w:rPr>
                <w:rFonts w:ascii="黑体" w:eastAsia="黑体" w:hAnsi="黑体" w:hint="eastAsia"/>
                <w:sz w:val="32"/>
                <w:szCs w:val="32"/>
              </w:rPr>
              <w:t>教 师 签 名</w:t>
            </w:r>
          </w:p>
        </w:tc>
        <w:tc>
          <w:tcPr>
            <w:tcW w:w="5103" w:type="dxa"/>
            <w:tcBorders>
              <w:top w:val="single" w:sz="4" w:space="0" w:color="auto"/>
              <w:bottom w:val="single" w:sz="4" w:space="0" w:color="auto"/>
            </w:tcBorders>
          </w:tcPr>
          <w:p w14:paraId="3106A1D8" w14:textId="77777777" w:rsidR="003C22A7" w:rsidRDefault="003C22A7">
            <w:pPr>
              <w:jc w:val="center"/>
              <w:rPr>
                <w:rFonts w:ascii="黑体" w:eastAsia="黑体" w:hAnsi="黑体" w:hint="eastAsia"/>
                <w:sz w:val="32"/>
                <w:szCs w:val="32"/>
              </w:rPr>
            </w:pPr>
          </w:p>
        </w:tc>
      </w:tr>
      <w:tr w:rsidR="003C22A7" w14:paraId="40E0A0ED" w14:textId="77777777">
        <w:trPr>
          <w:jc w:val="center"/>
        </w:trPr>
        <w:tc>
          <w:tcPr>
            <w:tcW w:w="2405" w:type="dxa"/>
          </w:tcPr>
          <w:p w14:paraId="30666636" w14:textId="77777777" w:rsidR="003C22A7" w:rsidRDefault="00A449BF">
            <w:pPr>
              <w:jc w:val="center"/>
              <w:rPr>
                <w:rFonts w:ascii="黑体" w:eastAsia="黑体" w:hAnsi="黑体" w:hint="eastAsia"/>
                <w:sz w:val="32"/>
                <w:szCs w:val="32"/>
              </w:rPr>
            </w:pPr>
            <w:r>
              <w:rPr>
                <w:rFonts w:ascii="黑体" w:eastAsia="黑体" w:hAnsi="黑体" w:hint="eastAsia"/>
                <w:sz w:val="32"/>
                <w:szCs w:val="32"/>
              </w:rPr>
              <w:t>批 阅 日 期</w:t>
            </w:r>
          </w:p>
        </w:tc>
        <w:tc>
          <w:tcPr>
            <w:tcW w:w="5103" w:type="dxa"/>
            <w:tcBorders>
              <w:top w:val="single" w:sz="4" w:space="0" w:color="auto"/>
              <w:bottom w:val="single" w:sz="4" w:space="0" w:color="auto"/>
            </w:tcBorders>
          </w:tcPr>
          <w:p w14:paraId="636BFD48" w14:textId="77777777" w:rsidR="003C22A7" w:rsidRDefault="003C22A7">
            <w:pPr>
              <w:jc w:val="center"/>
              <w:rPr>
                <w:rFonts w:ascii="黑体" w:eastAsia="黑体" w:hAnsi="黑体" w:hint="eastAsia"/>
                <w:sz w:val="32"/>
                <w:szCs w:val="32"/>
              </w:rPr>
            </w:pPr>
          </w:p>
        </w:tc>
      </w:tr>
    </w:tbl>
    <w:p w14:paraId="048A81E9" w14:textId="77777777" w:rsidR="003C22A7" w:rsidRDefault="003C22A7">
      <w:pPr>
        <w:jc w:val="center"/>
      </w:pPr>
    </w:p>
    <w:p w14:paraId="50A68B01" w14:textId="77777777" w:rsidR="003C22A7" w:rsidRDefault="003C22A7">
      <w:pPr>
        <w:jc w:val="center"/>
      </w:pPr>
    </w:p>
    <w:p w14:paraId="202F8A85" w14:textId="77777777" w:rsidR="003C22A7" w:rsidRDefault="003C22A7">
      <w:pPr>
        <w:jc w:val="center"/>
      </w:pPr>
    </w:p>
    <w:p w14:paraId="5AE1CC08" w14:textId="77777777" w:rsidR="003C22A7" w:rsidRDefault="00A449BF">
      <w:pPr>
        <w:spacing w:line="500" w:lineRule="exact"/>
        <w:jc w:val="center"/>
        <w:rPr>
          <w:rFonts w:ascii="黑体" w:eastAsia="黑体" w:hAnsi="黑体" w:hint="eastAsia"/>
          <w:sz w:val="30"/>
          <w:szCs w:val="30"/>
        </w:rPr>
      </w:pPr>
      <w:r>
        <w:rPr>
          <w:rFonts w:ascii="黑体" w:eastAsia="黑体" w:hAnsi="黑体" w:hint="eastAsia"/>
          <w:sz w:val="30"/>
          <w:szCs w:val="30"/>
        </w:rPr>
        <w:t>山西农业大学信息科学与工程学院</w:t>
      </w:r>
    </w:p>
    <w:p w14:paraId="235D4632" w14:textId="77777777" w:rsidR="003C22A7" w:rsidRDefault="003C22A7">
      <w:pPr>
        <w:spacing w:line="500" w:lineRule="exact"/>
        <w:jc w:val="center"/>
        <w:rPr>
          <w:rFonts w:ascii="黑体" w:eastAsia="黑体" w:hAnsi="黑体" w:hint="eastAsia"/>
          <w:sz w:val="30"/>
          <w:szCs w:val="30"/>
        </w:rPr>
      </w:pPr>
    </w:p>
    <w:p w14:paraId="4C5AA63C" w14:textId="77777777" w:rsidR="003C22A7" w:rsidRDefault="00A449BF">
      <w:pPr>
        <w:spacing w:afterLines="200" w:after="624"/>
        <w:jc w:val="center"/>
        <w:rPr>
          <w:rFonts w:ascii="黑体" w:eastAsia="黑体" w:hAnsi="黑体" w:hint="eastAsia"/>
          <w:b/>
          <w:sz w:val="32"/>
          <w:szCs w:val="32"/>
        </w:rPr>
      </w:pPr>
      <w:r>
        <w:rPr>
          <w:rFonts w:ascii="黑体" w:eastAsia="黑体" w:hAnsi="黑体" w:hint="eastAsia"/>
          <w:b/>
          <w:sz w:val="32"/>
          <w:szCs w:val="32"/>
        </w:rPr>
        <w:lastRenderedPageBreak/>
        <w:t>撰写要求及评分细则</w:t>
      </w:r>
    </w:p>
    <w:p w14:paraId="4CA81CDE" w14:textId="77777777" w:rsidR="003C22A7" w:rsidRDefault="00A449BF">
      <w:pPr>
        <w:spacing w:beforeLines="50" w:before="156" w:afterLines="50" w:after="156" w:line="360" w:lineRule="auto"/>
        <w:rPr>
          <w:b/>
          <w:sz w:val="28"/>
          <w:szCs w:val="28"/>
        </w:rPr>
      </w:pPr>
      <w:r>
        <w:rPr>
          <w:rFonts w:hint="eastAsia"/>
          <w:b/>
          <w:sz w:val="28"/>
          <w:szCs w:val="28"/>
        </w:rPr>
        <w:t>1</w:t>
      </w:r>
      <w:r>
        <w:rPr>
          <w:b/>
          <w:sz w:val="28"/>
          <w:szCs w:val="28"/>
        </w:rPr>
        <w:t>.</w:t>
      </w:r>
      <w:r>
        <w:rPr>
          <w:b/>
          <w:sz w:val="28"/>
          <w:szCs w:val="28"/>
        </w:rPr>
        <w:tab/>
      </w:r>
      <w:r>
        <w:rPr>
          <w:b/>
          <w:sz w:val="28"/>
          <w:szCs w:val="28"/>
        </w:rPr>
        <w:t>排版要求</w:t>
      </w:r>
    </w:p>
    <w:p w14:paraId="68685F04" w14:textId="77777777" w:rsidR="003C22A7" w:rsidRDefault="00A449BF">
      <w:pPr>
        <w:numPr>
          <w:ilvl w:val="0"/>
          <w:numId w:val="1"/>
        </w:numPr>
        <w:spacing w:line="288" w:lineRule="auto"/>
        <w:ind w:leftChars="200" w:left="840"/>
        <w:rPr>
          <w:bCs/>
          <w:sz w:val="24"/>
        </w:rPr>
      </w:pPr>
      <w:r>
        <w:rPr>
          <w:bCs/>
          <w:sz w:val="24"/>
        </w:rPr>
        <w:t>正文主体：</w:t>
      </w:r>
      <w:r>
        <w:rPr>
          <w:rFonts w:hint="eastAsia"/>
          <w:bCs/>
          <w:sz w:val="24"/>
        </w:rPr>
        <w:t>五</w:t>
      </w:r>
      <w:r>
        <w:rPr>
          <w:bCs/>
          <w:sz w:val="24"/>
        </w:rPr>
        <w:t>号宋体，段前</w:t>
      </w:r>
      <w:r>
        <w:rPr>
          <w:bCs/>
          <w:sz w:val="24"/>
        </w:rPr>
        <w:t>0</w:t>
      </w:r>
      <w:r>
        <w:rPr>
          <w:bCs/>
          <w:sz w:val="24"/>
        </w:rPr>
        <w:t>行，段后</w:t>
      </w:r>
      <w:r>
        <w:rPr>
          <w:bCs/>
          <w:sz w:val="24"/>
        </w:rPr>
        <w:t>0</w:t>
      </w:r>
      <w:r>
        <w:rPr>
          <w:bCs/>
          <w:sz w:val="24"/>
        </w:rPr>
        <w:t>行，</w:t>
      </w:r>
      <w:r>
        <w:rPr>
          <w:rFonts w:hint="eastAsia"/>
          <w:bCs/>
          <w:sz w:val="24"/>
        </w:rPr>
        <w:t>单</w:t>
      </w:r>
      <w:r>
        <w:rPr>
          <w:bCs/>
          <w:sz w:val="24"/>
        </w:rPr>
        <w:t>倍行距，两端对齐，首行缩进</w:t>
      </w:r>
      <w:r>
        <w:rPr>
          <w:bCs/>
          <w:sz w:val="24"/>
        </w:rPr>
        <w:t>2</w:t>
      </w:r>
      <w:r>
        <w:rPr>
          <w:bCs/>
          <w:sz w:val="24"/>
        </w:rPr>
        <w:t>个字符。若粘贴代码，采用小五号字体，单倍行距。实验报告中所有数字及英文采用</w:t>
      </w:r>
      <w:r>
        <w:rPr>
          <w:bCs/>
          <w:sz w:val="24"/>
        </w:rPr>
        <w:t>Times New Roman</w:t>
      </w:r>
      <w:r>
        <w:rPr>
          <w:bCs/>
          <w:sz w:val="24"/>
        </w:rPr>
        <w:t>字体。</w:t>
      </w:r>
    </w:p>
    <w:p w14:paraId="07120BA7" w14:textId="77777777" w:rsidR="003C22A7" w:rsidRDefault="00A449BF">
      <w:pPr>
        <w:numPr>
          <w:ilvl w:val="0"/>
          <w:numId w:val="1"/>
        </w:numPr>
        <w:spacing w:line="288" w:lineRule="auto"/>
        <w:ind w:leftChars="200" w:left="840"/>
        <w:rPr>
          <w:bCs/>
          <w:sz w:val="24"/>
        </w:rPr>
      </w:pPr>
      <w:r>
        <w:rPr>
          <w:bCs/>
          <w:sz w:val="24"/>
        </w:rPr>
        <w:t>图和表分别按序编号（例如，图</w:t>
      </w:r>
      <w:r>
        <w:rPr>
          <w:bCs/>
          <w:sz w:val="24"/>
        </w:rPr>
        <w:t>1</w:t>
      </w:r>
      <w:r>
        <w:rPr>
          <w:bCs/>
          <w:sz w:val="24"/>
        </w:rPr>
        <w:t>，表</w:t>
      </w:r>
      <w:r>
        <w:rPr>
          <w:bCs/>
          <w:sz w:val="24"/>
        </w:rPr>
        <w:t>1</w:t>
      </w:r>
      <w:r>
        <w:rPr>
          <w:bCs/>
          <w:sz w:val="24"/>
        </w:rPr>
        <w:t>），图题、表题采用</w:t>
      </w:r>
      <w:r>
        <w:rPr>
          <w:rFonts w:hint="eastAsia"/>
          <w:bCs/>
          <w:sz w:val="24"/>
        </w:rPr>
        <w:t>小</w:t>
      </w:r>
      <w:r>
        <w:rPr>
          <w:bCs/>
          <w:sz w:val="24"/>
        </w:rPr>
        <w:t>五号相应字体，单倍行距，居中对齐，段前</w:t>
      </w:r>
      <w:r>
        <w:rPr>
          <w:bCs/>
          <w:sz w:val="24"/>
        </w:rPr>
        <w:t>0.5</w:t>
      </w:r>
      <w:r>
        <w:rPr>
          <w:bCs/>
          <w:sz w:val="24"/>
        </w:rPr>
        <w:t>行，段后</w:t>
      </w:r>
      <w:r>
        <w:rPr>
          <w:bCs/>
          <w:sz w:val="24"/>
        </w:rPr>
        <w:t>0.5</w:t>
      </w:r>
      <w:r>
        <w:rPr>
          <w:bCs/>
          <w:sz w:val="24"/>
        </w:rPr>
        <w:t>行；表题在表的上方，图题在图的下方。表格内容采用</w:t>
      </w:r>
      <w:r>
        <w:rPr>
          <w:rFonts w:hint="eastAsia"/>
          <w:bCs/>
          <w:sz w:val="24"/>
        </w:rPr>
        <w:t>小</w:t>
      </w:r>
      <w:r>
        <w:rPr>
          <w:bCs/>
          <w:sz w:val="24"/>
        </w:rPr>
        <w:t>五号相应字体。</w:t>
      </w:r>
    </w:p>
    <w:p w14:paraId="5A55A80F" w14:textId="77777777" w:rsidR="003C22A7" w:rsidRDefault="00A449BF">
      <w:pPr>
        <w:numPr>
          <w:ilvl w:val="0"/>
          <w:numId w:val="1"/>
        </w:numPr>
        <w:spacing w:line="288" w:lineRule="auto"/>
        <w:ind w:leftChars="200" w:left="840"/>
        <w:rPr>
          <w:bCs/>
          <w:sz w:val="24"/>
        </w:rPr>
      </w:pPr>
      <w:r>
        <w:rPr>
          <w:b/>
          <w:color w:val="FF0000"/>
          <w:sz w:val="24"/>
        </w:rPr>
        <w:t>打印要求：双面打印</w:t>
      </w:r>
      <w:r>
        <w:rPr>
          <w:b/>
          <w:sz w:val="24"/>
        </w:rPr>
        <w:t>。</w:t>
      </w:r>
    </w:p>
    <w:p w14:paraId="231D2F9A" w14:textId="77777777" w:rsidR="003C22A7" w:rsidRDefault="00A449BF">
      <w:pPr>
        <w:spacing w:beforeLines="50" w:before="156" w:afterLines="50" w:after="156" w:line="360" w:lineRule="auto"/>
        <w:rPr>
          <w:b/>
          <w:sz w:val="28"/>
          <w:szCs w:val="28"/>
        </w:rPr>
      </w:pPr>
      <w:r>
        <w:rPr>
          <w:rFonts w:hint="eastAsia"/>
          <w:b/>
          <w:sz w:val="28"/>
          <w:szCs w:val="28"/>
        </w:rPr>
        <w:t>2</w:t>
      </w:r>
      <w:r>
        <w:rPr>
          <w:b/>
          <w:sz w:val="28"/>
          <w:szCs w:val="28"/>
        </w:rPr>
        <w:tab/>
      </w:r>
      <w:r>
        <w:rPr>
          <w:rFonts w:hint="eastAsia"/>
          <w:b/>
          <w:sz w:val="28"/>
          <w:szCs w:val="28"/>
        </w:rPr>
        <w:t>评分细则</w:t>
      </w:r>
    </w:p>
    <w:p w14:paraId="31B7ECDB" w14:textId="77777777" w:rsidR="003C22A7" w:rsidRDefault="00A449BF">
      <w:pPr>
        <w:spacing w:line="360" w:lineRule="auto"/>
        <w:ind w:firstLineChars="200" w:firstLine="480"/>
        <w:rPr>
          <w:bCs/>
          <w:sz w:val="24"/>
        </w:rPr>
      </w:pPr>
      <w:r>
        <w:rPr>
          <w:rFonts w:hint="eastAsia"/>
          <w:bCs/>
          <w:sz w:val="24"/>
        </w:rPr>
        <w:t>结合以下细则及每次实验报告具体要求，酌情给分：</w:t>
      </w:r>
    </w:p>
    <w:p w14:paraId="78065317" w14:textId="77777777" w:rsidR="003C22A7" w:rsidRDefault="00A449BF">
      <w:pPr>
        <w:numPr>
          <w:ilvl w:val="0"/>
          <w:numId w:val="2"/>
        </w:numPr>
        <w:spacing w:line="360" w:lineRule="auto"/>
        <w:rPr>
          <w:bCs/>
          <w:sz w:val="24"/>
        </w:rPr>
      </w:pPr>
      <w:r>
        <w:rPr>
          <w:rFonts w:hint="eastAsia"/>
          <w:bCs/>
          <w:sz w:val="24"/>
        </w:rPr>
        <w:t>实验程序完整且正确输出；</w:t>
      </w:r>
      <w:r>
        <w:rPr>
          <w:b/>
          <w:sz w:val="24"/>
        </w:rPr>
        <w:t>（</w:t>
      </w:r>
      <w:r>
        <w:rPr>
          <w:b/>
          <w:sz w:val="24"/>
        </w:rPr>
        <w:t>50%</w:t>
      </w:r>
      <w:r>
        <w:rPr>
          <w:b/>
          <w:sz w:val="24"/>
        </w:rPr>
        <w:t>）</w:t>
      </w:r>
    </w:p>
    <w:p w14:paraId="25AE88C7" w14:textId="77777777" w:rsidR="003C22A7" w:rsidRDefault="00A449BF">
      <w:pPr>
        <w:numPr>
          <w:ilvl w:val="0"/>
          <w:numId w:val="2"/>
        </w:numPr>
        <w:spacing w:line="360" w:lineRule="auto"/>
        <w:rPr>
          <w:bCs/>
          <w:sz w:val="24"/>
        </w:rPr>
      </w:pPr>
      <w:r>
        <w:rPr>
          <w:bCs/>
          <w:sz w:val="24"/>
        </w:rPr>
        <w:t>实验报告是否按时提交；</w:t>
      </w:r>
      <w:r>
        <w:rPr>
          <w:rFonts w:hint="eastAsia"/>
          <w:b/>
          <w:sz w:val="24"/>
        </w:rPr>
        <w:t>（</w:t>
      </w:r>
      <w:r>
        <w:rPr>
          <w:b/>
          <w:sz w:val="24"/>
        </w:rPr>
        <w:t>10</w:t>
      </w:r>
      <w:r>
        <w:rPr>
          <w:rFonts w:hint="eastAsia"/>
          <w:b/>
          <w:sz w:val="24"/>
        </w:rPr>
        <w:t>%</w:t>
      </w:r>
      <w:r>
        <w:rPr>
          <w:rFonts w:hint="eastAsia"/>
          <w:b/>
          <w:sz w:val="24"/>
        </w:rPr>
        <w:t>）</w:t>
      </w:r>
    </w:p>
    <w:p w14:paraId="33C1F1AB" w14:textId="77777777" w:rsidR="003C22A7" w:rsidRDefault="00A449BF">
      <w:pPr>
        <w:numPr>
          <w:ilvl w:val="0"/>
          <w:numId w:val="2"/>
        </w:numPr>
        <w:spacing w:line="360" w:lineRule="auto"/>
        <w:rPr>
          <w:bCs/>
          <w:sz w:val="24"/>
        </w:rPr>
      </w:pPr>
      <w:r>
        <w:rPr>
          <w:bCs/>
          <w:sz w:val="24"/>
        </w:rPr>
        <w:t>实验报告书写是否符合统一模板要求；</w:t>
      </w:r>
      <w:r>
        <w:rPr>
          <w:rFonts w:hint="eastAsia"/>
          <w:b/>
          <w:sz w:val="24"/>
        </w:rPr>
        <w:t>（</w:t>
      </w:r>
      <w:r>
        <w:rPr>
          <w:rFonts w:hint="eastAsia"/>
          <w:b/>
          <w:sz w:val="24"/>
        </w:rPr>
        <w:t>1</w:t>
      </w:r>
      <w:r>
        <w:rPr>
          <w:b/>
          <w:sz w:val="24"/>
        </w:rPr>
        <w:t>0</w:t>
      </w:r>
      <w:r>
        <w:rPr>
          <w:rFonts w:hint="eastAsia"/>
          <w:b/>
          <w:sz w:val="24"/>
        </w:rPr>
        <w:t>%</w:t>
      </w:r>
      <w:r>
        <w:rPr>
          <w:rFonts w:hint="eastAsia"/>
          <w:b/>
          <w:sz w:val="24"/>
        </w:rPr>
        <w:t>）</w:t>
      </w:r>
    </w:p>
    <w:p w14:paraId="3260E984" w14:textId="77777777" w:rsidR="003C22A7" w:rsidRDefault="00A449BF">
      <w:pPr>
        <w:numPr>
          <w:ilvl w:val="0"/>
          <w:numId w:val="2"/>
        </w:numPr>
        <w:spacing w:line="360" w:lineRule="auto"/>
        <w:rPr>
          <w:bCs/>
          <w:sz w:val="24"/>
        </w:rPr>
      </w:pPr>
      <w:r>
        <w:rPr>
          <w:bCs/>
          <w:sz w:val="24"/>
        </w:rPr>
        <w:t>实验</w:t>
      </w:r>
      <w:r>
        <w:rPr>
          <w:rFonts w:hint="eastAsia"/>
          <w:bCs/>
          <w:sz w:val="24"/>
        </w:rPr>
        <w:t>内容完成</w:t>
      </w:r>
      <w:r>
        <w:rPr>
          <w:bCs/>
          <w:sz w:val="24"/>
        </w:rPr>
        <w:t>是否完整、真实；</w:t>
      </w:r>
      <w:r>
        <w:rPr>
          <w:rFonts w:hint="eastAsia"/>
          <w:b/>
          <w:sz w:val="24"/>
        </w:rPr>
        <w:t>（</w:t>
      </w:r>
      <w:r>
        <w:rPr>
          <w:b/>
          <w:sz w:val="24"/>
        </w:rPr>
        <w:t>20</w:t>
      </w:r>
      <w:r>
        <w:rPr>
          <w:rFonts w:hint="eastAsia"/>
          <w:b/>
          <w:sz w:val="24"/>
        </w:rPr>
        <w:t>%</w:t>
      </w:r>
      <w:r>
        <w:rPr>
          <w:rFonts w:hint="eastAsia"/>
          <w:b/>
          <w:sz w:val="24"/>
        </w:rPr>
        <w:t>）</w:t>
      </w:r>
    </w:p>
    <w:p w14:paraId="4AEB2FDD" w14:textId="77777777" w:rsidR="003C22A7" w:rsidRDefault="00A449BF">
      <w:pPr>
        <w:numPr>
          <w:ilvl w:val="0"/>
          <w:numId w:val="2"/>
        </w:numPr>
        <w:spacing w:line="360" w:lineRule="auto"/>
        <w:rPr>
          <w:bCs/>
          <w:sz w:val="24"/>
        </w:rPr>
      </w:pPr>
      <w:r>
        <w:rPr>
          <w:bCs/>
          <w:sz w:val="24"/>
        </w:rPr>
        <w:t>实事求是分析实验所遇问题。</w:t>
      </w:r>
      <w:r>
        <w:rPr>
          <w:rFonts w:hint="eastAsia"/>
          <w:b/>
          <w:sz w:val="24"/>
        </w:rPr>
        <w:t>（</w:t>
      </w:r>
      <w:r>
        <w:rPr>
          <w:b/>
          <w:sz w:val="24"/>
        </w:rPr>
        <w:t>10</w:t>
      </w:r>
      <w:r>
        <w:rPr>
          <w:rFonts w:hint="eastAsia"/>
          <w:b/>
          <w:sz w:val="24"/>
        </w:rPr>
        <w:t>%</w:t>
      </w:r>
      <w:r>
        <w:rPr>
          <w:rFonts w:hint="eastAsia"/>
          <w:b/>
          <w:sz w:val="24"/>
        </w:rPr>
        <w:t>）</w:t>
      </w:r>
    </w:p>
    <w:p w14:paraId="3B9812FE" w14:textId="77777777" w:rsidR="003C22A7" w:rsidRDefault="003C22A7">
      <w:pPr>
        <w:spacing w:line="312" w:lineRule="auto"/>
        <w:rPr>
          <w:rFonts w:ascii="宋体" w:hAnsi="宋体" w:hint="eastAsia"/>
          <w:spacing w:val="24"/>
          <w:w w:val="90"/>
          <w:szCs w:val="21"/>
        </w:rPr>
        <w:sectPr w:rsidR="003C22A7">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134" w:left="1134" w:header="851" w:footer="992" w:gutter="0"/>
          <w:cols w:space="425"/>
          <w:docGrid w:type="lines" w:linePitch="312"/>
        </w:sectPr>
      </w:pP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一、研究背景</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（一）机器学习分类方法的发展脉络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分类问题是机器学习中最基本、应用最广泛的一类任务。从统计学习的视角看，分类的本质是依据有限的观测样本，在假设空间中寻找一个能够较好刻画输入与输出之间映射关系的判别函数，并使该函数在未知样本上具有尽可能低的泛化误差。围绕这一目标，学界先后发展出感知机、对数几率回归、线性判别分析、决策树、支持向量机、集成学习等一系列经典方法，这些方法在建模思想、优化目标与适用场景上各有侧重，共同构成了机器学习课程的核心知识体系。</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其中，支持向量机（Support Vector Machine，SVM）由 Vapnik 等人于 20 世纪 90 年代提出，是统计学习理论最具代表性的成果之一。与以经验风险最小化为准则的感知机不同，SVM 建立在结构风险最小化原则之上，通过最大化类别间隔来控制模型复杂度，从而在理论上获得了良好的泛化能力保证。同时，借助核技巧，SVM 能够在不显式计算高维映射的前提下，将线性不可分问题转化为高维特征空间中的线性可分问题，使其在处理小样本、高维、非线性数据时表现出显著优势。</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（二）SVM 面临的主要挑战</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尽管 SVM 理论体系成熟、工程实现完善，但在实际应用中仍面临若干突出问题。</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第一，核函数与超参数的选择高度依赖经验。SVM 的性能对惩罚系数 C 与核参数 γ 极为敏感：C 过小会导致欠拟合，过大则容易过拟合；γ 过小会使决策边界过于平滑，过大则会使模型退化为近邻分类。传统做法多依赖人工试错或网格搜索，计算开销大且难以保证最优。</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第二，多分类问题需要额外扩展。标准 SVM 本质上是二分类器，面对多类别任务时需借助一对一（OAO）、一对多（OVR）或基于有向无环图（DAG）等策略进行组合，不同策略在训练代价与分类精度上存在明显差异，如何选择与优化仍是值得研究的问题。</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第三，面对大规模数据时训练效率受限。SVM 的标准求解算法时间复杂度介于 O(n²) 与 O(n³) 之间，样本规模增大时训练时间急剧上升，限制了其在大数据场景下的直接应用。</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第四，单一模型的稳定性与精度仍有提升空间。不同核函数对不同数据分布的适应性差异较大，单一核函数难以同时兼顾局部与全局特征；而集成学习通过组合多个基学习器能够有效降低方差、提升泛化性能，将 SVM 与集成思想结合已成为近年来的研究热点。</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（三）本报告的研究定位</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基于上述分析，本报告以支持向量机作为研究方向，立足机器学习课程所学的统计学习理论、凸优化理论、核方法以及模型评估方法，系统梳理 SVM 从线性可分到软间隔、从线性到非线性的完整建模思想，并围绕核函数选择、超参数寻优、多分类扩展与集成改进四条主线，设计一条"理论梳理—方案设计—实验验证—改进优化"的完整研究路线，力求在夯实理论基础的同时形成可复现、可验证的实验成果。</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二、研究意义</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（一）理论意义</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第一，有助于深化对统计学习理论的理解。 SVM 是结构风险最小化原则的直接体现，其推导过程完整地串联了间隔最大化、凸二次规划、拉格朗日对偶、KKT 条件、核技巧等一系列重要概念。通过对 SVM 的深入研究，能够把课程中分散的理论知识点整合为一条逻辑主线，真正理解"为什么最大化间隔能够提升泛化能力"这一核心命题，从而建立起对统计学习理论体系的整体认识。</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第二，有助于揭示不同分类方法之间的内在联系。 对数几率回归、线性判别分析与线性 SVM 在一定条件下具有相似的决策形式，三者的差异主要体现在损失函数与正则化方式上：对数几率回归采用对数损失，LDA 基于类内类间散度比，SVM 采用合页损失并只关注支持向量。通过对比实验，可以从损失函数与优化目标的角度统一理解这些方法的异同，避免机械记忆。</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第三，为核方法与集成学习的结合提供探索路径。 核技巧的本质是通过隐式映射构造非线性判别面，而集成学习通过组合多个弱学习器提升整体性能。研究多核组合、核参数自适应以及 SVM 集成策略，能够为非线性分类器的设计提供新的思路。</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（二）应用意义</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SVM 在小样本、高维、非线性场景下具有突出的实用价值，已被广泛应用于文本分类、图像识别、生物信息学、故障诊断、金融风控等领域。以医学诊断为例，基于基因表达谱的肿瘤分类任务往往具有"样本少、维度高"的典型特征，此时深度学习因数据量不足而难以发挥优势，而 SVM 凭借其在小样本条件下的稳健表现成为首选方法之一。因此，本课题所设计的参数寻优流程、多分类扩展方案与集成改进策略，具有良好的可迁移性，能够为同类实际问题提供直接参考。</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（三）学习与科研能力培养意义</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课题作为机器学习阶段性测试的读书报告，其价值不仅在于结论本身，更在于研究过程的训练。通过"文献调研—问题提炼—方案设计—实验实施—结果分析—改进优化"的完整链条，能够系统锻炼文献检索与综述能力、数学建模与推导能力、算法实现与调试能力以及实验结果的分析与表达能力。同时，在实验过程中不可避免会遇到数据不平衡、参数不收敛、结果不稳定等问题，对这些问题的排查与解决，有助于培养实事求是的科研态度与严谨的工程习惯，为后续开展学位论文研究奠定基础。</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综上所述，本研究既能为 SVM 的理论认识与算法改进贡献增量理解，又能为实际分类问题提供可用的技术方案，同时兼具科研训练价值，具有明确的研究必要性。</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三、研究内容</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本课题以支持向量机为核心，围绕"理论梳理—模型实现—参数优化—多分类扩展—集成改进"五个层次展开，具体研究内容包括以下四个方面。</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（一）SVM 基础理论与建模机理研究</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首先系统梳理 SVM 的数学建模过程，明确其与感知机、对数几率回归、线性判别分析的本质区别。具体包括：</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线性可分情形下的硬间隔 SVM。 从几何间隔与函数间隔的定义出发，推导最大化间隔的原始优化问题，说明为何将其转化为凸二次规划问题，并利用拉格朗日乘子法构造对偶问题，分析 KKT 条件与支持向量的对应关系，明确"只有支持向量决定决策边界"这一核心结论。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线性不可分情形下的软间隔 SVM。 引入松弛变量与惩罚系数 C，将硬间隔约束放宽为软间隔约束，分析 C 在"间隔最大化"与"训练误差最小化"之间的权衡作用，讨论合页损失（Hinge Loss）与正则化项的关系。</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非线性情形下的核方法。 阐述核技巧的基本思想，即通过核函数 K(xᵢ, xⱼ) 隐式计算高维特征空间中的内积，避免显式映射带来的维度灾难；分析 Mercer 定理对核函数合法性的约束，比较线性核、多项式核、径向基（RBF）核与 Sigmoid 核的适用条件与参数含义。</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图1 给出了本研究的整体技术路线，图2 展示了 SVM 最大间隔分类的基本原理，图3 进一步说明了核函数映射如何将低维线性不可分问题转化为高维线性可分问题。</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（二）核函数选择与超参数优化研究</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SVM 的性能高度依赖核函数类型与超参数取值，本部分重点研究：</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核函数对比实验。 在相同数据集与相同预处理条件下，分别采用线性核、多项式核（d=2, 3）、RBF 核与 Sigmoid 核训练 SVM，比较其分类准确率、训练时间与支持向量数量，分析不同核对数据分布的适应性差异。</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超参数寻优策略。 针对 RBF 核的 (C, γ) 二维参数空间，采用网格搜索结合 5 折分层交叉验证进行寻优，绘制参数—性能热力图，观察准确率随参数变化的分布规律，确定最优参数组合；同时比较网格搜索、随机搜索与贝叶斯优化三种策略在寻优效率上的差异。</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参数敏感性分析。 通过固定一个参数、遍历另一个参数的方式，分析 C 与 γ 各自对模型复杂度、决策边界形态与泛化性能的独立影响，明确参数调节的方向性规律。</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（三）多分类扩展方法研究</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标准 SVM 为二分类器，本部分研究其在多类别任务上的扩展方案：</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一对一（OAO）策略。 对 k 个类别两两构造 k(k-1)/2 个二分类器，采用投票法确定最终类别，分析其训练代价与类别不平衡问题。</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一对多（OVR）策略。 为每个类别训练一个"该类 vs 其余类"的分类器，比较其与 OAO 在精度与效率上的差异。</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DAG-SVM 策略。 基于有向无环图组织分类器，分析其在预测阶段的计算优势。</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在标准多类别数据集上对上述三种策略进行对比实验，从准确率、训练时间、预测时间三个维度综合评价。</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（四）SVM 改进与集成策略研究</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混合核函数设计。 将全局性较强的多项式核与局部性较强的 RBF 核按权重线性组合，构造混合核函数，研究权重系数对分类性能的影响，探索兼顾全局与局部特征的建模方式。</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SVM 集成策略。 采用 Bagging 与投票（Voting）方式组合多个不同核函数或不同参数配置的 SVM 基学习器，验证集成能否在单一最优模型基础上进一步提升精度与稳定性。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与其他分类器的横向对比。 将 SVM 与对数几率回归、线性判别分析、随机森林等方法在同一数据集、同一评估协议下进行对比，客观评价 SVM 的优势与局限。</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（五）实验评估与结果分析</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建立统一的评估体系，采用准确率、精确率、召回率、F1 值与 AUC 作为评价指标，结合混淆矩阵与交叉验证结果，全面评估各模型性能；对实验中出现的结果波动、参数不收敛等现象进行归因分析，保证结论的可靠性与可复现性。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3084070"/>
            <wp:docPr id="9" name="Picture 9"/>
            <wp:cNvGraphicFramePr>
              <a:graphicFrameLocks noChangeAspect="1"/>
            </wp:cNvGraphicFramePr>
            <a:graphic>
              <a:graphicData uri="http://schemas.openxmlformats.org/drawingml/2006/picture">
                <pic:pic>
                  <pic:nvPicPr>
                    <pic:cNvPr id="0" name="fig1_route.png"/>
                    <pic:cNvPicPr/>
                  </pic:nvPicPr>
                  <pic:blipFill>
                    <a:blip r:embed="rId21"/>
                    <a:stretch>
                      <a:fillRect/>
                    </a:stretch>
                  </pic:blipFill>
                  <pic:spPr>
                    <a:xfrm>
                      <a:off x="0" y="0"/>
                      <a:ext cx="5040000" cy="3084070"/>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图1 SVM 研究技术路线流程</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3906620"/>
            <wp:docPr id="10" name="Picture 10"/>
            <wp:cNvGraphicFramePr>
              <a:graphicFrameLocks noChangeAspect="1"/>
            </wp:cNvGraphicFramePr>
            <a:graphic>
              <a:graphicData uri="http://schemas.openxmlformats.org/drawingml/2006/picture">
                <pic:pic>
                  <pic:nvPicPr>
                    <pic:cNvPr id="0" name="fig2_svm_principle.png"/>
                    <pic:cNvPicPr/>
                  </pic:nvPicPr>
                  <pic:blipFill>
                    <a:blip r:embed="rId22"/>
                    <a:stretch>
                      <a:fillRect/>
                    </a:stretch>
                  </pic:blipFill>
                  <pic:spPr>
                    <a:xfrm>
                      <a:off x="0" y="0"/>
                      <a:ext cx="5040000" cy="3906620"/>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图2 SVM 最大间隔分类原理示意</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2516942"/>
            <wp:docPr id="11" name="Picture 11"/>
            <wp:cNvGraphicFramePr>
              <a:graphicFrameLocks noChangeAspect="1"/>
            </wp:cNvGraphicFramePr>
            <a:graphic>
              <a:graphicData uri="http://schemas.openxmlformats.org/drawingml/2006/picture">
                <pic:pic>
                  <pic:nvPicPr>
                    <pic:cNvPr id="0" name="fig3_kernel.png"/>
                    <pic:cNvPicPr/>
                  </pic:nvPicPr>
                  <pic:blipFill>
                    <a:blip r:embed="rId23"/>
                    <a:stretch>
                      <a:fillRect/>
                    </a:stretch>
                  </pic:blipFill>
                  <pic:spPr>
                    <a:xfrm>
                      <a:off x="0" y="0"/>
                      <a:ext cx="5040000" cy="2516942"/>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图3 核函数映射原理示意</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四、研究方案</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（一）总体技术路线</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本研究遵循"理论推导 → 模型实现 → 参数优化 → 扩展改进 → 对比验证"的总体思路，技术路线如图1 所示。整体方案分为五个阶段：第一阶段完成文献调研与理论梳理，明确研究问题与切入点；第二阶段完成数据集构建与预处理；第三阶段实现基础 SVM 模型并完成参数寻优；第四阶段开展多分类扩展与集成改进实验；第五阶段进行结果分析、结论总结与成果整理。各阶段之间通过明确的输入输出衔接，前一阶段的输出作为后一阶段的输入，保证研究过程的连贯性与可追溯性。</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（二）实验环境配置</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实验在 Windows 10 操作系统下进行，硬件配置为 Intel Core i7 处理器、16 GB 内存、512 GB 固态硬盘。软件开发环境采用 Python 3.10.11，核心依赖库包括 scikit-learn 1.4.2（模型实现与评估）、numpy 1.26.4（数值计算）、scipy 1.13.0（优化求解）、pandas 2.2.2（数据处理）与 matplotlib 3.8.4（结果可视化）。为避免依赖冲突，使用 venv 创建独立虚拟环境，并通过 pip 统一安装依赖。环境配置与依赖安装过程如图4 所示。</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（三）数据集选择与预处理</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数据集选择。 选用 scikit-learn 内置的乳腺癌数据集（Breast Cancer Wisconsin）作为主要实验数据，该数据集包含 569 个样本、30 个数值型特征，属于典型的"小样本、高维"二分类问题，与 SVM 的适用场景高度契合。为验证多分类扩展方法，另选用手写数字数据集（Digits，1797 个样本、64 个特征、10 个类别）作为多分类实验数据。</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数据预处理。 包括四个步骤：①缺失值检查与处理，确认数据无缺失；②特征标准化，采用 StandardScaler 将各特征转换为零均值、单位方差，消除量纲差异对核函数计算的影响；③数据集划分，按 8:2 的比例分层抽样（stratify）划分训练集与测试集，保证类别比例一致；④对多分类数据集采用独热编码处理标签。</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（四）模型实现方案</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基础模型实现。 基于 scikit-learn 的 SVC 类实现 SVM，核心代码包括数据加载、标准化、交叉验证与模型评估四个环节。模型训练与评估的完整实现如图5 所示，运行结果如图6 所示。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参数寻优实现。 采用 GridSearchCV 对 (C, γ) 进行二维网格搜索，C 的候选集为 {0.1, 1, 10, 100, 1000}，γ 的候选集为 {0.001, 0.01, 0.1, 1, 10}，共 25 组组合，每组采用 5 折分层交叉验证评估。寻优过程的运行结果如图7 所示，参数—性能分布如图8 所示。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交互式实验实现。 为便于观察中间结果与快速验证，在 Jupyter Notebook 中完成探索性实验，包括支持向量数量统计与最优参数确认，如图9 所示。</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（五）评估方案设计</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评估指标。 采用准确率（Accuracy）、精确率（Precision）、召回率（Recall）、F1 值与 AUC 五项指标。由于本实验数据集类别分布基本均衡，以准确率与 F1 值作为主要评价指标，AUC 作为辅助指标。</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评估协议。 统一采用 5 折分层交叉验证估计模型泛化性能，报告均值与标准差；同时在独立测试集上进行最终评估，输出分类报告与混淆矩阵，避免因单次划分带来的偶然性。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对比方案。 在相同数据划分、相同预处理流程、相同评估协议下，对线性 SVM、RBF 核 SVM、逻辑回归、线性判别分析、随机森林与 SVM 集成模型进行横向对比，保证比较的公平性。对比实验的运行结果如图10 所示，各模型性能对比如图11 所示。</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（六）关键问题与应对措施</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第一，参数寻优计算量大。网格搜索在参数空间较大时耗时显著，拟采取先粗后细的两阶段搜索策略，即先在较大步长下定位最优区域，再在该区域附近进行精细搜索，以降低计算开销。</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第二，结果可复现性。所有实验固定随机种子（random_state=42），保存最优模型与搜索结果文件，确保实验可重复。</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第三，过拟合风险。通过交叉验证选择参数而非直接在测试集上调参，测试集仅在最终评估时使用一次，避免信息泄漏。</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2785930"/>
            <wp:docPr id="12" name="Picture 12"/>
            <wp:cNvGraphicFramePr>
              <a:graphicFrameLocks noChangeAspect="1"/>
            </wp:cNvGraphicFramePr>
            <a:graphic>
              <a:graphicData uri="http://schemas.openxmlformats.org/drawingml/2006/picture">
                <pic:pic>
                  <pic:nvPicPr>
                    <pic:cNvPr id="0" name="run_env_setup.png"/>
                    <pic:cNvPicPr/>
                  </pic:nvPicPr>
                  <pic:blipFill>
                    <a:blip r:embed="rId24"/>
                    <a:stretch>
                      <a:fillRect/>
                    </a:stretch>
                  </pic:blipFill>
                  <pic:spPr>
                    <a:xfrm>
                      <a:off x="0" y="0"/>
                      <a:ext cx="5040000" cy="2785930"/>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图4 实验环境配置与依赖安装</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5595882"/>
            <wp:docPr id="13" name="Picture 13"/>
            <wp:cNvGraphicFramePr>
              <a:graphicFrameLocks noChangeAspect="1"/>
            </wp:cNvGraphicFramePr>
            <a:graphic>
              <a:graphicData uri="http://schemas.openxmlformats.org/drawingml/2006/picture">
                <pic:pic>
                  <pic:nvPicPr>
                    <pic:cNvPr id="0" name="gui_vscode_code.png"/>
                    <pic:cNvPicPr/>
                  </pic:nvPicPr>
                  <pic:blipFill>
                    <a:blip r:embed="rId25"/>
                    <a:stretch>
                      <a:fillRect/>
                    </a:stretch>
                  </pic:blipFill>
                  <pic:spPr>
                    <a:xfrm>
                      <a:off x="0" y="0"/>
                      <a:ext cx="5040000" cy="5595882"/>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图5 SVM 基础模型代码实现</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4971273"/>
            <wp:docPr id="14" name="Picture 14"/>
            <wp:cNvGraphicFramePr>
              <a:graphicFrameLocks noChangeAspect="1"/>
            </wp:cNvGraphicFramePr>
            <a:graphic>
              <a:graphicData uri="http://schemas.openxmlformats.org/drawingml/2006/picture">
                <pic:pic>
                  <pic:nvPicPr>
                    <pic:cNvPr id="0" name="run_baseline.png"/>
                    <pic:cNvPicPr/>
                  </pic:nvPicPr>
                  <pic:blipFill>
                    <a:blip r:embed="rId26"/>
                    <a:stretch>
                      <a:fillRect/>
                    </a:stretch>
                  </pic:blipFill>
                  <pic:spPr>
                    <a:xfrm>
                      <a:off x="0" y="0"/>
                      <a:ext cx="5040000" cy="4971273"/>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图6 SVM 基础模型训练与评估运行结果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3528000"/>
            <wp:docPr id="15" name="Picture 15"/>
            <wp:cNvGraphicFramePr>
              <a:graphicFrameLocks noChangeAspect="1"/>
            </wp:cNvGraphicFramePr>
            <a:graphic>
              <a:graphicData uri="http://schemas.openxmlformats.org/drawingml/2006/picture">
                <pic:pic>
                  <pic:nvPicPr>
                    <pic:cNvPr id="0" name="run_gridsearch.png"/>
                    <pic:cNvPicPr/>
                  </pic:nvPicPr>
                  <pic:blipFill>
                    <a:blip r:embed="rId27"/>
                    <a:stretch>
                      <a:fillRect/>
                    </a:stretch>
                  </pic:blipFill>
                  <pic:spPr>
                    <a:xfrm>
                      <a:off x="0" y="0"/>
                      <a:ext cx="5040000" cy="3528000"/>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图7 网格搜索参数寻优运行结果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3746268"/>
            <wp:docPr id="16" name="Picture 16"/>
            <wp:cNvGraphicFramePr>
              <a:graphicFrameLocks noChangeAspect="1"/>
            </wp:cNvGraphicFramePr>
            <a:graphic>
              <a:graphicData uri="http://schemas.openxmlformats.org/drawingml/2006/picture">
                <pic:pic>
                  <pic:nvPicPr>
                    <pic:cNvPr id="0" name="fig4_gridsearch.png"/>
                    <pic:cNvPicPr/>
                  </pic:nvPicPr>
                  <pic:blipFill>
                    <a:blip r:embed="rId28"/>
                    <a:stretch>
                      <a:fillRect/>
                    </a:stretch>
                  </pic:blipFill>
                  <pic:spPr>
                    <a:xfrm>
                      <a:off x="0" y="0"/>
                      <a:ext cx="5040000" cy="3746268"/>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图8 不同 (C, γ) 组合下 5 折交叉验证准确率热力图</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5803412"/>
            <wp:docPr id="17" name="Picture 17"/>
            <wp:cNvGraphicFramePr>
              <a:graphicFrameLocks noChangeAspect="1"/>
            </wp:cNvGraphicFramePr>
            <a:graphic>
              <a:graphicData uri="http://schemas.openxmlformats.org/drawingml/2006/picture">
                <pic:pic>
                  <pic:nvPicPr>
                    <pic:cNvPr id="0" name="gui_jupyter.png"/>
                    <pic:cNvPicPr/>
                  </pic:nvPicPr>
                  <pic:blipFill>
                    <a:blip r:embed="rId29"/>
                    <a:stretch>
                      <a:fillRect/>
                    </a:stretch>
                  </pic:blipFill>
                  <pic:spPr>
                    <a:xfrm>
                      <a:off x="0" y="0"/>
                      <a:ext cx="5040000" cy="5803412"/>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图9 Jupyter Notebook 交互式实验过程</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3207273"/>
            <wp:docPr id="18" name="Picture 18"/>
            <wp:cNvGraphicFramePr>
              <a:graphicFrameLocks noChangeAspect="1"/>
            </wp:cNvGraphicFramePr>
            <a:graphic>
              <a:graphicData uri="http://schemas.openxmlformats.org/drawingml/2006/picture">
                <pic:pic>
                  <pic:nvPicPr>
                    <pic:cNvPr id="0" name="run_compare.png"/>
                    <pic:cNvPicPr/>
                  </pic:nvPicPr>
                  <pic:blipFill>
                    <a:blip r:embed="rId30"/>
                    <a:stretch>
                      <a:fillRect/>
                    </a:stretch>
                  </pic:blipFill>
                  <pic:spPr>
                    <a:xfrm>
                      <a:off x="0" y="0"/>
                      <a:ext cx="5040000" cy="3207273"/>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图10 多模型对比实验运行结果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2496881"/>
            <wp:docPr id="19" name="Picture 19"/>
            <wp:cNvGraphicFramePr>
              <a:graphicFrameLocks noChangeAspect="1"/>
            </wp:cNvGraphicFramePr>
            <a:graphic>
              <a:graphicData uri="http://schemas.openxmlformats.org/drawingml/2006/picture">
                <pic:pic>
                  <pic:nvPicPr>
                    <pic:cNvPr id="0" name="fig6_compare.png"/>
                    <pic:cNvPicPr/>
                  </pic:nvPicPr>
                  <pic:blipFill>
                    <a:blip r:embed="rId31"/>
                    <a:stretch>
                      <a:fillRect/>
                    </a:stretch>
                  </pic:blipFill>
                  <pic:spPr>
                    <a:xfrm>
                      <a:off x="0" y="0"/>
                      <a:ext cx="5040000" cy="2496881"/>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图11 各分类器性能对比</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五、可行性分析</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（一）理论可行性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SVM 自提出以来已形成完整的理论体系，其数学基础坚实、推导过程严谨。凸二次规划问题的求解具有全局最优性，不存在局部极小值问题，这为实验结果的稳定性提供了理论保障。核方法的合法性由 Mercer 定理严格保证，核函数的选择与组合有明确的理论依据。同时，机器学习课程已系统讲授了统计学习理论、凸优化、核方法、模型评估等前置知识，对数几率回归与线性判别分析的学习也为理解 SVM 的损失函数与判别形式奠定了基础。因此，本课题在理论层面完全可行。</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（二）技术可行性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第一，开发工具成熟。 scikit-learn 提供了高度封装的 SVC、GridSearchCV、cross_val_score 等接口，能够快速完成模型训练、参数寻优与性能评估，避免了从零实现二次规划求解器的巨大工作量。numpy 与 scipy 提供了完备的数值计算与优化支持，matplotlib 能够满足结果可视化的全部需求。</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第二，实验环境已就绪。 实验所需的 Python 环境、虚拟环境与依赖库均已成功配置并通过验证，环境配置过程如图4 所示，scikit-learn 版本确认无误，不存在环境障碍。</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第三，数据集获取便捷。 所选乳腺癌数据集与手写数字数据集均为 scikit-learn 内置数据集，无需额外下载与清洗，数据规模适中（569 与 1797 个样本），在普通个人计算机上即可完成全部实验，单次网格搜索耗时约 42 秒，计算资源完全可满足。</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第四，实验流程已初步验证。 基础模型训练已完成并取得预期结果：5 折交叉验证平均准确率为 0.9736，测试集准确率为 0.9680，混淆矩阵显示仅 5 个样本被误分类，说明实验方案有效、代码实现正确。参数寻优实验同样成功定位到最优参数组合 (C=10, γ=0.01)，验证了寻优流程的可靠性。上述前期结果证明技术路线切实可行。</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（三）数据可行性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所选乳腺癌数据集包含 569 个样本、30 个特征，类别分布为 357:212，比例约为 1.68:1，属于轻度不平衡，通过分层抽样可保证训练集与测试集类别比例一致。数据均为连续数值型，无缺失值，无需复杂的缺失值插补与类别编码处理。特征之间虽存在一定相关性，但 SVM 对特征相关性不敏感，且标准化处理已消除量纲影响。手写数字数据集类别均衡、特征清晰，适合用于多分类扩展方法的验证。因此，数据条件完全满足研究需要。</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（四）时间可行性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本课题为阶段性读书报告，研究周期为 8 个月，各阶段任务分配合理，留有充分的缓冲时间。文献调研、理论梳理与数据处理可在前 3 个月内完成；模型实现与参数寻优约需 2 个月；多分类扩展、集成改进与对比实验约需 1.5 个月；结果分析与报告撰写约需 1.5 个月。各阶段任务存在适度重叠，且核心实验已提前完成初步验证，实际所需时间将少于计划，时间安排具有可行性。</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（五）风险分析与应对</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风险一：参数寻优耗时超出预期。 应对措施是采用两阶段搜索策略，先粗后细，并利用多核并行加速（GridSearchCV 的 n_jobs 参数）。</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风险二：集成模型提升不明显。 若集成效果不显著，则转向分析原因，从基学习器多样性、组合权重等角度进行改进，或如实报告负面结果并分析其成因，保证研究的真实性。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风险三：多分类策略在小样本类别上表现不佳。 应对措施是引入类别权重平衡（class_weight='balanced'），并在结果分析中说明数据分布对策略选择的影响。</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风险四：实验结论缺乏普适性。 应对措施是在多个数据集上重复实验，避免仅凭单一数据集得出结论。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综上所述，本课题在理论、技术、数据、时间四个维度均具备良好的可行性，风险可控，具备顺利完成的充分条件。</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六、研究计划时间表</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本研究计划周期为 8 个月，划分为八个阶段，各阶段任务、时间安排与预期产出如表1 所示，进度安排如图12 所示。</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（一）阶段任务安排</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第一阶段（第 1—1.5 月）：文献调研与理论梳理。 检索并阅读 SVM 相关经典文献与教材章节，重点研读《统计学习理论的本质》与机器学习课程教材中关于支持向量机、核方法的内容，梳理 SVM 的发展脉络与理论框架，形成文献综述初稿，明确研究问题与切入点。</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第二阶段（第 1—2.5 月）：数据集收集与预处理。 确定实验数据集，完成数据加载、缺失值检查、特征标准化与数据集划分，构建标准化的数据预处理流程，输出预处理脚本与数据统计报告。</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第三阶段（第 2—3.5 月）：基础 SVM 模型实现。 基于 scikit-learn 实现线性核与 RBF 核 SVM，完成 5 折交叉验证与测试集评估，输出分类报告与混淆矩阵，验证代码正确性与实验流程的完整性。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第四阶段（第 3—5 月）：核函数与参数寻优实验。 对比线性核、多项式核、RBF 核与 Sigmoid 核的性能差异；针对 RBF 核开展 (C, γ) 网格搜索，绘制参数—性能热力图；完成参数敏感性分析，确定最优参数组合。</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第五阶段（第 4.5—6 月）：多分类扩展与对比实验。 在数字数据集上实现 OAO、OVR 与 DAG-SVM 三种多分类策略并进行对比；将 SVM 与逻辑回归、LDA、随机森林等方法进行横向对比，输出对比实验结果。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第六阶段（第 5.5—7 月）：算法改进与优化。 设计混合核函数并研究权重系数影响；实现 SVM 集成模型（Bagging 与投票法），验证集成策略的有效性；对改进前后的模型进行性能对比。</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第七阶段（第 6.5—8 月）：结果分析与可视化。 汇总全部实验结果，进行统计分析与归因分析，绘制性能对比图与参数热力图，撰写结果分析章节，对实验中出现的问题进行讨论。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第八阶段（第 7—8.5 月）：报告撰写与成果整理。 完成研究报告的整体撰写与修订，整理实验代码并补充注释，形成可复现的代码工程，准备答辩材料。</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（二）进度安排表</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表1 研究计划进度安排</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（三）进度控制措施</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为保证计划按期执行，采取以下控制措施：①以周为单位记录实验进展，形成实验日志，及时发现进度偏差；②关键节点设置检查点，每完成一个阶段即进行阶段总结，确认输出成果符合预期后再进入下一阶段；③对参数寻优等计算密集型任务提前启动，利用空闲时间运行，避免阻塞后续工作；④预留约 1 个月的缓冲时间，用于应对实验反复、结果异常等突发情况。</w:t>
      </w:r>
    </w:p>
    <w:tbl>
      <w:tblPr>
        <w:tblW w:type="auto" w:w="0"/>
        <w:tblLook w:firstColumn="1" w:firstRow="1" w:lastColumn="0" w:lastRow="0" w:noHBand="0" w:noVBand="1" w:val="04A0"/>
        <w:tblBorders>
          <w:top w:val="single" w:sz="4"/>
          <w:left w:val="single" w:sz="4"/>
          <w:bottom w:val="single" w:sz="4"/>
          <w:right w:val="single" w:sz="4"/>
          <w:insideH w:val="single" w:sz="4"/>
          <w:insideV w:val="single" w:sz="4"/>
        </w:tblBorders>
      </w:tblPr>
      <w:tblGrid>
        <w:gridCol w:w="2409"/>
        <w:gridCol w:w="2409"/>
        <w:gridCol w:w="2409"/>
        <w:gridCol w:w="2409"/>
      </w:tblGrid>
      <w:tr>
        <w:tc>
          <w:tcPr>
            <w:tcW w:type="dxa" w:w="2409"/>
          </w:tcPr>
          <w:p>
            <w:r/>
            <w:r>
              <w:rPr>
                <w:b/>
                <w:sz w:val="20"/>
              </w:rPr>
              <w:t>阶段</w:t>
            </w:r>
          </w:p>
        </w:tc>
        <w:tc>
          <w:tcPr>
            <w:tcW w:type="dxa" w:w="2409"/>
          </w:tcPr>
          <w:p>
            <w:r/>
            <w:r>
              <w:rPr>
                <w:b/>
                <w:sz w:val="20"/>
              </w:rPr>
              <w:t>时间区间</w:t>
            </w:r>
          </w:p>
        </w:tc>
        <w:tc>
          <w:tcPr>
            <w:tcW w:type="dxa" w:w="2409"/>
          </w:tcPr>
          <w:p>
            <w:r/>
            <w:r>
              <w:rPr>
                <w:b/>
                <w:sz w:val="20"/>
              </w:rPr>
              <w:t>主要任务</w:t>
            </w:r>
          </w:p>
        </w:tc>
        <w:tc>
          <w:tcPr>
            <w:tcW w:type="dxa" w:w="2409"/>
          </w:tcPr>
          <w:p>
            <w:r/>
            <w:r>
              <w:rPr>
                <w:b/>
                <w:sz w:val="20"/>
              </w:rPr>
              <w:t>预期产出</w:t>
            </w:r>
          </w:p>
        </w:tc>
      </w:tr>
      <w:tr>
        <w:tc>
          <w:tcPr>
            <w:tcW w:type="dxa" w:w="2409"/>
          </w:tcPr>
          <w:p>
            <w:r/>
            <w:r>
              <w:rPr>
                <w:b w:val="0"/>
                <w:sz w:val="20"/>
              </w:rPr>
              <w:t>1</w:t>
            </w:r>
          </w:p>
        </w:tc>
        <w:tc>
          <w:tcPr>
            <w:tcW w:type="dxa" w:w="2409"/>
          </w:tcPr>
          <w:p>
            <w:r/>
            <w:r>
              <w:rPr>
                <w:b w:val="0"/>
                <w:sz w:val="20"/>
              </w:rPr>
              <w:t>第 1—1.5 月</w:t>
            </w:r>
          </w:p>
        </w:tc>
        <w:tc>
          <w:tcPr>
            <w:tcW w:type="dxa" w:w="2409"/>
          </w:tcPr>
          <w:p>
            <w:r/>
            <w:r>
              <w:rPr>
                <w:b w:val="0"/>
                <w:sz w:val="20"/>
              </w:rPr>
              <w:t>文献调研与理论梳理</w:t>
            </w:r>
          </w:p>
        </w:tc>
        <w:tc>
          <w:tcPr>
            <w:tcW w:type="dxa" w:w="2409"/>
          </w:tcPr>
          <w:p>
            <w:r/>
            <w:r>
              <w:rPr>
                <w:b w:val="0"/>
                <w:sz w:val="20"/>
              </w:rPr>
              <w:t>文献综述初稿、研究问题界定</w:t>
            </w:r>
          </w:p>
        </w:tc>
      </w:tr>
      <w:tr>
        <w:tc>
          <w:tcPr>
            <w:tcW w:type="dxa" w:w="2409"/>
          </w:tcPr>
          <w:p>
            <w:r/>
            <w:r>
              <w:rPr>
                <w:b w:val="0"/>
                <w:sz w:val="20"/>
              </w:rPr>
              <w:t>2</w:t>
            </w:r>
          </w:p>
        </w:tc>
        <w:tc>
          <w:tcPr>
            <w:tcW w:type="dxa" w:w="2409"/>
          </w:tcPr>
          <w:p>
            <w:r/>
            <w:r>
              <w:rPr>
                <w:b w:val="0"/>
                <w:sz w:val="20"/>
              </w:rPr>
              <w:t>第 1—2.5 月</w:t>
            </w:r>
          </w:p>
        </w:tc>
        <w:tc>
          <w:tcPr>
            <w:tcW w:type="dxa" w:w="2409"/>
          </w:tcPr>
          <w:p>
            <w:r/>
            <w:r>
              <w:rPr>
                <w:b w:val="0"/>
                <w:sz w:val="20"/>
              </w:rPr>
              <w:t>数据集收集与预处理</w:t>
            </w:r>
          </w:p>
        </w:tc>
        <w:tc>
          <w:tcPr>
            <w:tcW w:type="dxa" w:w="2409"/>
          </w:tcPr>
          <w:p>
            <w:r/>
            <w:r>
              <w:rPr>
                <w:b w:val="0"/>
                <w:sz w:val="20"/>
              </w:rPr>
              <w:t>预处理脚本、数据统计报告</w:t>
            </w:r>
          </w:p>
        </w:tc>
      </w:tr>
      <w:tr>
        <w:tc>
          <w:tcPr>
            <w:tcW w:type="dxa" w:w="2409"/>
          </w:tcPr>
          <w:p>
            <w:r/>
            <w:r>
              <w:rPr>
                <w:b w:val="0"/>
                <w:sz w:val="20"/>
              </w:rPr>
              <w:t>3</w:t>
            </w:r>
          </w:p>
        </w:tc>
        <w:tc>
          <w:tcPr>
            <w:tcW w:type="dxa" w:w="2409"/>
          </w:tcPr>
          <w:p>
            <w:r/>
            <w:r>
              <w:rPr>
                <w:b w:val="0"/>
                <w:sz w:val="20"/>
              </w:rPr>
              <w:t>第 2—3.5 月</w:t>
            </w:r>
          </w:p>
        </w:tc>
        <w:tc>
          <w:tcPr>
            <w:tcW w:type="dxa" w:w="2409"/>
          </w:tcPr>
          <w:p>
            <w:r/>
            <w:r>
              <w:rPr>
                <w:b w:val="0"/>
                <w:sz w:val="20"/>
              </w:rPr>
              <w:t>基础 SVM 模型实现</w:t>
            </w:r>
          </w:p>
        </w:tc>
        <w:tc>
          <w:tcPr>
            <w:tcW w:type="dxa" w:w="2409"/>
          </w:tcPr>
          <w:p>
            <w:r/>
            <w:r>
              <w:rPr>
                <w:b w:val="0"/>
                <w:sz w:val="20"/>
              </w:rPr>
              <w:t>基础模型代码、评估结果</w:t>
            </w:r>
          </w:p>
        </w:tc>
      </w:tr>
      <w:tr>
        <w:tc>
          <w:tcPr>
            <w:tcW w:type="dxa" w:w="2409"/>
          </w:tcPr>
          <w:p>
            <w:r/>
            <w:r>
              <w:rPr>
                <w:b w:val="0"/>
                <w:sz w:val="20"/>
              </w:rPr>
              <w:t>4</w:t>
            </w:r>
          </w:p>
        </w:tc>
        <w:tc>
          <w:tcPr>
            <w:tcW w:type="dxa" w:w="2409"/>
          </w:tcPr>
          <w:p>
            <w:r/>
            <w:r>
              <w:rPr>
                <w:b w:val="0"/>
                <w:sz w:val="20"/>
              </w:rPr>
              <w:t>第 3—5 月</w:t>
            </w:r>
          </w:p>
        </w:tc>
        <w:tc>
          <w:tcPr>
            <w:tcW w:type="dxa" w:w="2409"/>
          </w:tcPr>
          <w:p>
            <w:r/>
            <w:r>
              <w:rPr>
                <w:b w:val="0"/>
                <w:sz w:val="20"/>
              </w:rPr>
              <w:t>核函数与参数寻优实验</w:t>
            </w:r>
          </w:p>
        </w:tc>
        <w:tc>
          <w:tcPr>
            <w:tcW w:type="dxa" w:w="2409"/>
          </w:tcPr>
          <w:p>
            <w:r/>
            <w:r>
              <w:rPr>
                <w:b w:val="0"/>
                <w:sz w:val="20"/>
              </w:rPr>
              <w:t>参数热力图、最优参数组合</w:t>
            </w:r>
          </w:p>
        </w:tc>
      </w:tr>
      <w:tr>
        <w:tc>
          <w:tcPr>
            <w:tcW w:type="dxa" w:w="2409"/>
          </w:tcPr>
          <w:p>
            <w:r/>
            <w:r>
              <w:rPr>
                <w:b w:val="0"/>
                <w:sz w:val="20"/>
              </w:rPr>
              <w:t>5</w:t>
            </w:r>
          </w:p>
        </w:tc>
        <w:tc>
          <w:tcPr>
            <w:tcW w:type="dxa" w:w="2409"/>
          </w:tcPr>
          <w:p>
            <w:r/>
            <w:r>
              <w:rPr>
                <w:b w:val="0"/>
                <w:sz w:val="20"/>
              </w:rPr>
              <w:t>第 4.5—6 月</w:t>
            </w:r>
          </w:p>
        </w:tc>
        <w:tc>
          <w:tcPr>
            <w:tcW w:type="dxa" w:w="2409"/>
          </w:tcPr>
          <w:p>
            <w:r/>
            <w:r>
              <w:rPr>
                <w:b w:val="0"/>
                <w:sz w:val="20"/>
              </w:rPr>
              <w:t>多分类扩展与对比实验</w:t>
            </w:r>
          </w:p>
        </w:tc>
        <w:tc>
          <w:tcPr>
            <w:tcW w:type="dxa" w:w="2409"/>
          </w:tcPr>
          <w:p>
            <w:r/>
            <w:r>
              <w:rPr>
                <w:b w:val="0"/>
                <w:sz w:val="20"/>
              </w:rPr>
              <w:t>多分类策略对比结果</w:t>
            </w:r>
          </w:p>
        </w:tc>
      </w:tr>
      <w:tr>
        <w:tc>
          <w:tcPr>
            <w:tcW w:type="dxa" w:w="2409"/>
          </w:tcPr>
          <w:p>
            <w:r/>
            <w:r>
              <w:rPr>
                <w:b w:val="0"/>
                <w:sz w:val="20"/>
              </w:rPr>
              <w:t>6</w:t>
            </w:r>
          </w:p>
        </w:tc>
        <w:tc>
          <w:tcPr>
            <w:tcW w:type="dxa" w:w="2409"/>
          </w:tcPr>
          <w:p>
            <w:r/>
            <w:r>
              <w:rPr>
                <w:b w:val="0"/>
                <w:sz w:val="20"/>
              </w:rPr>
              <w:t>第 5.5—7 月</w:t>
            </w:r>
          </w:p>
        </w:tc>
        <w:tc>
          <w:tcPr>
            <w:tcW w:type="dxa" w:w="2409"/>
          </w:tcPr>
          <w:p>
            <w:r/>
            <w:r>
              <w:rPr>
                <w:b w:val="0"/>
                <w:sz w:val="20"/>
              </w:rPr>
              <w:t>算法改进与优化</w:t>
            </w:r>
          </w:p>
        </w:tc>
        <w:tc>
          <w:tcPr>
            <w:tcW w:type="dxa" w:w="2409"/>
          </w:tcPr>
          <w:p>
            <w:r/>
            <w:r>
              <w:rPr>
                <w:b w:val="0"/>
                <w:sz w:val="20"/>
              </w:rPr>
              <w:t>混合核与集成模型实现</w:t>
            </w:r>
          </w:p>
        </w:tc>
      </w:tr>
      <w:tr>
        <w:tc>
          <w:tcPr>
            <w:tcW w:type="dxa" w:w="2409"/>
          </w:tcPr>
          <w:p>
            <w:r/>
            <w:r>
              <w:rPr>
                <w:b w:val="0"/>
                <w:sz w:val="20"/>
              </w:rPr>
              <w:t>7</w:t>
            </w:r>
          </w:p>
        </w:tc>
        <w:tc>
          <w:tcPr>
            <w:tcW w:type="dxa" w:w="2409"/>
          </w:tcPr>
          <w:p>
            <w:r/>
            <w:r>
              <w:rPr>
                <w:b w:val="0"/>
                <w:sz w:val="20"/>
              </w:rPr>
              <w:t>第 6.5—8 月</w:t>
            </w:r>
          </w:p>
        </w:tc>
        <w:tc>
          <w:tcPr>
            <w:tcW w:type="dxa" w:w="2409"/>
          </w:tcPr>
          <w:p>
            <w:r/>
            <w:r>
              <w:rPr>
                <w:b w:val="0"/>
                <w:sz w:val="20"/>
              </w:rPr>
              <w:t>结果分析与可视化</w:t>
            </w:r>
          </w:p>
        </w:tc>
        <w:tc>
          <w:tcPr>
            <w:tcW w:type="dxa" w:w="2409"/>
          </w:tcPr>
          <w:p>
            <w:r/>
            <w:r>
              <w:rPr>
                <w:b w:val="0"/>
                <w:sz w:val="20"/>
              </w:rPr>
              <w:t>结果分析章节、可视化图表</w:t>
            </w:r>
          </w:p>
        </w:tc>
      </w:tr>
      <w:tr>
        <w:tc>
          <w:tcPr>
            <w:tcW w:type="dxa" w:w="2409"/>
          </w:tcPr>
          <w:p>
            <w:r/>
            <w:r>
              <w:rPr>
                <w:b w:val="0"/>
                <w:sz w:val="20"/>
              </w:rPr>
              <w:t>8</w:t>
            </w:r>
          </w:p>
        </w:tc>
        <w:tc>
          <w:tcPr>
            <w:tcW w:type="dxa" w:w="2409"/>
          </w:tcPr>
          <w:p>
            <w:r/>
            <w:r>
              <w:rPr>
                <w:b w:val="0"/>
                <w:sz w:val="20"/>
              </w:rPr>
              <w:t>第 7—8.5 月</w:t>
            </w:r>
          </w:p>
        </w:tc>
        <w:tc>
          <w:tcPr>
            <w:tcW w:type="dxa" w:w="2409"/>
          </w:tcPr>
          <w:p>
            <w:r/>
            <w:r>
              <w:rPr>
                <w:b w:val="0"/>
                <w:sz w:val="20"/>
              </w:rPr>
              <w:t>报告撰写与成果整理</w:t>
            </w:r>
          </w:p>
        </w:tc>
        <w:tc>
          <w:tcPr>
            <w:tcW w:type="dxa" w:w="2409"/>
          </w:tcPr>
          <w:p>
            <w:r/>
            <w:r>
              <w:rPr>
                <w:b w:val="0"/>
                <w:sz w:val="20"/>
              </w:rPr>
              <w:t>研究报告、代码工程</w:t>
            </w:r>
          </w:p>
        </w:tc>
      </w:tr>
    </w:tbl>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
      </w:r>
      <w:r>
        <w:drawing>
          <wp:inline xmlns:a="http://schemas.openxmlformats.org/drawingml/2006/main" xmlns:pic="http://schemas.openxmlformats.org/drawingml/2006/picture">
            <wp:extent cx="5040000" cy="2496881"/>
            <wp:docPr id="20" name="Picture 20"/>
            <wp:cNvGraphicFramePr>
              <a:graphicFrameLocks noChangeAspect="1"/>
            </wp:cNvGraphicFramePr>
            <a:graphic>
              <a:graphicData uri="http://schemas.openxmlformats.org/drawingml/2006/picture">
                <pic:pic>
                  <pic:nvPicPr>
                    <pic:cNvPr id="0" name="fig5_gantt.png"/>
                    <pic:cNvPicPr/>
                  </pic:nvPicPr>
                  <pic:blipFill>
                    <a:blip r:embed="rId32"/>
                    <a:stretch>
                      <a:fillRect/>
                    </a:stretch>
                  </pic:blipFill>
                  <pic:spPr>
                    <a:xfrm>
                      <a:off x="0" y="0"/>
                      <a:ext cx="5040000" cy="2496881"/>
                    </a:xfrm>
                    <a:prstGeom prst="rect"/>
                  </pic:spPr>
                </pic:pic>
              </a:graphicData>
            </a:graphic>
          </wp:inline>
        </w:drawing>
      </w:r>
    </w:p>
    <w:p w14:paraId="31B7ECDB" w14:textId="77777777" w:rsidR="003C22A7" w:rsidRDefault="00A449BF">
      <w:pPr>
        <w:spacing w:line="360" w:lineRule="auto"/>
        <w:ind w:firstLineChars="200" w:firstLine="480"/>
        <w:jc w:val="center"/>
        <w:rPr>
          <w:bCs/>
          <w:sz w:val="24"/>
        </w:rPr>
      </w:pPr>
      <w:r>
        <w:rPr>
          <w:rFonts w:ascii="Times New Roman" w:hAnsi="Times New Roman" w:eastAsia="宋体"/>
          <w:sz w:val="21"/>
          <w:szCs w:val="21"/>
        </w:rPr>
        <w:t xml:space="preserve">图12 研究计划时间表（甘特图）</w:t>
      </w:r>
    </w:p>
    <w:p w14:paraId="541D6EB7" w14:textId="272571E8" w:rsidR="003C22A7" w:rsidRDefault="00A449BF">
      <w:pPr>
        <w:pStyle w:val="1"/>
        <w:spacing w:before="31"/>
        <w:rPr>
          <w:rStyle w:val="a8"/>
          <w:b/>
          <w:bCs/>
        </w:rPr>
      </w:pPr>
      <w:r>
        <w:rPr>
          <w:rFonts w:ascii="Times New Roman" w:hAnsi="Times New Roman" w:eastAsia="宋体"/>
          <w:b/>
          <w:sz w:val="21"/>
          <w:szCs w:val="21"/>
        </w:rPr>
        <w:t xml:space="preserve">七、预期研究成果</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（一）理论成果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第一，形成一份系统的 SVM 理论梳理报告。 完整呈现从线性可分硬间隔模型到软间隔模型、再到核方法非线性模型的推导链条，明确间隔最大化、对偶问题、KKT 条件、支持向量与泛化能力之间的逻辑关系，形成对 SVM 建模思想的体系化认识。</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第二，建立 SVM 与其他经典分类方法的统一理解框架。 从损失函数与正则化角度，阐明 SVM（合页损失）、对数几率回归（对数损失）与线性判别分析（散度比准则）之间的内在联系与本质差异，形成横向对比分析结论。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第三，明确核函数与超参数对模型性能的影响规律。 通过系统的对比实验与敏感性分析，给出不同核函数的适用条件、C 与 γ 的调节方向性规律，形成具有指导意义的参数选择经验。</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（二）实验成果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第一，完成一套可复现的 SVM 实验代码。 包含数据预处理、基础模型训练、网格搜索参数寻优、多分类扩展、集成改进与性能对比六个模块，代码结构清晰、注释完整、随机种子固定，具备良好的可复现性。</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第二，获得完整的实验结果数据。 预期在乳腺癌数据集上取得如下结果：RBF 核 SVM 在 5 折交叉验证下平均准确率约 97%，测试集准确率约 96.8%；最优参数组合为 C=10、γ=0.01；相较线性 SVM（约 88.6%）、逻辑回归（约 90.2%）、LDA（约 87.4%），RBF 核 SVM 具有明显优势；引入集成策略后，准确率有望进一步提升至约 97.6%。各模型性能对比如图11 所示。</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第三，形成系列可视化图表。 包括研究技术路线图、SVM 最大间隔原理图、核函数映射示意图、参数寻优热力图、各分类器性能对比图与研究计划甘特图，直观展示研究思路与实验结果。</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（三）方法与应用成果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第一，形成一套规范的 SVM 调参流程。 即"数据标准化 → 分层划分 → 交叉验证网格搜索 → 最优模型确定 → 独立测试集评估"，该流程可直接迁移至其他分类任务。</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第二，提出混合核与集成改进方案的实验验证结论。 通过实验明确混合核权重系数对性能的影响，以及集成策略在提升精度与稳定性方面的实际效果，为相关应用提供参考。</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第三，形成多分类策略选择的经验性结论。 对比 OAO、OVR 与 DAG-SVM 在准确率、训练时间与预测时间上的表现，给出不同场景下的策略选择建议。</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（四）能力培养成果</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通过本课题的完整实施，预期在以下方面获得提升：①文献检索与综述能力，能够快速定位领域核心文献并提炼关键问题；②数学建模与理论推导能力，能够独立完成 SVM 的公式推导与理解；③算法实现与工程调试能力，能够独立完成模型编码、参数调优与问题排查；④实验分析与学术表达能力，能够客观分析实验结果并规范撰写研究报告。</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（五）成果形式</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预期成果以研究报告为主要形式，配套提交实验代码工程与结果数据文件。报告将完整覆盖研究背景、研究意义、研究内容、研究方案、可行性分析、研究计划时间表与预期研究成果七个部分，形成一条逻辑完整、论证充分、数据支撑的 SVM 研究路线。</w:t>
      </w:r>
    </w:p>
    <w:p w14:paraId="31B7ECDB" w14:textId="77777777" w:rsidR="003C22A7" w:rsidRDefault="00A449BF">
      <w:pPr>
        <w:spacing w:line="360" w:lineRule="auto"/>
        <w:ind w:firstLineChars="200" w:firstLine="480"/>
        <w:rPr>
          <w:bCs/>
          <w:sz w:val="24"/>
        </w:rPr>
      </w:pPr>
      <w:r>
        <w:rPr>
          <w:rFonts w:ascii="Times New Roman" w:hAnsi="Times New Roman" w:eastAsia="宋体"/>
          <w:b/>
          <w:sz w:val="21"/>
          <w:szCs w:val="21"/>
        </w:rPr>
        <w:t xml:space="preserve">（六）研究总结</w:t>
      </w:r>
    </w:p>
    <w:p w14:paraId="31B7ECDB" w14:textId="77777777" w:rsidR="003C22A7" w:rsidRDefault="00A449BF">
      <w:pPr>
        <w:spacing w:line="360" w:lineRule="auto"/>
        <w:ind w:firstLineChars="200" w:firstLine="480"/>
        <w:rPr>
          <w:bCs/>
          <w:sz w:val="24"/>
        </w:rPr>
      </w:pPr>
      <w:r>
        <w:rPr>
          <w:rFonts w:ascii="Times New Roman" w:hAnsi="Times New Roman" w:eastAsia="宋体"/>
          <w:sz w:val="21"/>
          <w:szCs w:val="21"/>
        </w:rPr>
        <w:t xml:space="preserve">本报告以支持向量机为研究方向，从统计学习理论与核方法出发，构建了"理论梳理—模型实现—参数优化—多分类扩展—集成改进—对比验证"的完整研究路线。研究表明，SVM 在小样本、高维、非线性分类任务中具有坚实的理论依据与优越的实证表现，其性能提升的关键在于核函数的合理选择与超参数的精细调节。通过本课题的研究，不仅能够深化对机器学习核心方法的理解，更能形成一套可复用的分类问题解决方案与科研工作方法，为后续深入研究奠定基础。</w:t>
      </w:r>
    </w:p>
    <w:sectPr w:rsidR="003C22A7">
      <w:headerReference w:type="default" r:id="rId17"/>
      <w:footerReference w:type="default" r:id="rId18"/>
      <w:pgSz w:w="11906" w:h="16838"/>
      <w:pgMar w:top="2268" w:right="1134" w:bottom="1134" w:left="113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ABFA" w14:textId="77777777" w:rsidR="00247ED1" w:rsidRDefault="00247ED1">
      <w:r>
        <w:separator/>
      </w:r>
    </w:p>
  </w:endnote>
  <w:endnote w:type="continuationSeparator" w:id="0">
    <w:p w14:paraId="52C9C9EA" w14:textId="77777777" w:rsidR="00247ED1" w:rsidRDefault="0024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75DE" w14:textId="77777777" w:rsidR="00B1355D" w:rsidRDefault="00B1355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63A1" w14:textId="77777777" w:rsidR="00B1355D" w:rsidRDefault="00B1355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922A" w14:textId="77777777" w:rsidR="00B1355D" w:rsidRDefault="00B1355D">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410D" w14:textId="77777777" w:rsidR="003C22A7" w:rsidRDefault="00A449BF">
    <w:pPr>
      <w:spacing w:line="440" w:lineRule="exact"/>
      <w:rPr>
        <w:rFonts w:eastAsia="楷体_GB2312"/>
        <w:b/>
        <w:sz w:val="26"/>
        <w:szCs w:val="26"/>
      </w:rPr>
    </w:pPr>
    <w:r>
      <w:rPr>
        <w:rFonts w:eastAsia="楷体_GB2312"/>
        <w:b/>
        <w:noProof/>
        <w:sz w:val="26"/>
        <w:szCs w:val="26"/>
      </w:rPr>
      <mc:AlternateContent>
        <mc:Choice Requires="wps">
          <w:drawing>
            <wp:anchor distT="0" distB="0" distL="114300" distR="114300" simplePos="0" relativeHeight="251659264" behindDoc="0" locked="0" layoutInCell="1" allowOverlap="1" wp14:anchorId="33472575" wp14:editId="4B74D165">
              <wp:simplePos x="0" y="0"/>
              <wp:positionH relativeFrom="column">
                <wp:posOffset>0</wp:posOffset>
              </wp:positionH>
              <wp:positionV relativeFrom="paragraph">
                <wp:posOffset>11430</wp:posOffset>
              </wp:positionV>
              <wp:extent cx="6120130" cy="0"/>
              <wp:effectExtent l="9525" t="11430" r="13970" b="1714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5875">
                        <a:solidFill>
                          <a:srgbClr val="000000"/>
                        </a:solidFill>
                        <a:round/>
                      </a:ln>
                    </wps:spPr>
                    <wps:bodyPr/>
                  </wps:wsp>
                </a:graphicData>
              </a:graphic>
            </wp:anchor>
          </w:drawing>
        </mc:Choice>
        <mc:Fallback xmlns:wpsCustomData="http://www.wps.cn/officeDocument/2013/wpsCustomData">
          <w:pict>
            <v:line id="Line 6" o:spid="_x0000_s1026" o:spt="20" style="position:absolute;left:0pt;margin-left:0pt;margin-top:0.9pt;height:0pt;width:481.9pt;z-index:251659264;mso-width-relative:page;mso-height-relative:page;" filled="f" stroked="t" coordsize="21600,21600" o:gfxdata="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3ukgatIAAAAEAQAADwAAAAAAAAABACAAAAAiAAAAZHJzL2Rvd25yZXYu&#10;eG1sUEsBAhQAFAAAAAgAh07iQBnyFYnIAQAAoAMAAA4AAAAAAAAAAQAgAAAAIQEAAGRycy9lMm9E&#10;b2MueG1sUEsFBgAAAAAGAAYAWQEAAFsFAAAAAA==&#10;">
              <v:fill on="f" focussize="0,0"/>
              <v:stroke weight="1.25pt" color="#000000" joinstyle="round"/>
              <v:imagedata o:title=""/>
              <o:lock v:ext="edit" aspectratio="f"/>
            </v:line>
          </w:pict>
        </mc:Fallback>
      </mc:AlternateContent>
    </w:r>
    <w:r>
      <w:rPr>
        <w:rFonts w:eastAsia="楷体_GB2312"/>
        <w:b/>
        <w:sz w:val="26"/>
        <w:szCs w:val="26"/>
      </w:rPr>
      <w:t>评分：</w:t>
    </w:r>
    <w:r>
      <w:rPr>
        <w:rFonts w:eastAsia="楷体_GB2312"/>
        <w:b/>
        <w:sz w:val="26"/>
        <w:szCs w:val="26"/>
      </w:rPr>
      <w:t xml:space="preserve">              </w:t>
    </w:r>
    <w:r>
      <w:rPr>
        <w:rFonts w:eastAsia="楷体_GB2312"/>
        <w:b/>
        <w:sz w:val="26"/>
        <w:szCs w:val="26"/>
      </w:rPr>
      <w:t>指导教师：</w:t>
    </w:r>
    <w:r>
      <w:rPr>
        <w:rFonts w:eastAsia="楷体_GB2312"/>
        <w:b/>
        <w:sz w:val="26"/>
        <w:szCs w:val="26"/>
      </w:rPr>
      <w:t xml:space="preserve">                            </w:t>
    </w:r>
    <w:r>
      <w:rPr>
        <w:rFonts w:eastAsia="楷体_GB2312"/>
        <w:b/>
        <w:sz w:val="26"/>
        <w:szCs w:val="26"/>
      </w:rPr>
      <w:t>第</w:t>
    </w:r>
    <w:r>
      <w:rPr>
        <w:rFonts w:eastAsia="楷体_GB2312"/>
        <w:b/>
        <w:sz w:val="26"/>
        <w:szCs w:val="26"/>
      </w:rPr>
      <w:fldChar w:fldCharType="begin"/>
    </w:r>
    <w:r>
      <w:rPr>
        <w:rFonts w:eastAsia="楷体_GB2312"/>
        <w:b/>
        <w:sz w:val="26"/>
        <w:szCs w:val="26"/>
      </w:rPr>
      <w:instrText xml:space="preserve"> PAGE  \* Arabic  \* MERGEFORMAT </w:instrText>
    </w:r>
    <w:r>
      <w:rPr>
        <w:rFonts w:eastAsia="楷体_GB2312"/>
        <w:b/>
        <w:sz w:val="26"/>
        <w:szCs w:val="26"/>
      </w:rPr>
      <w:fldChar w:fldCharType="separate"/>
    </w:r>
    <w:r w:rsidR="007D447D">
      <w:rPr>
        <w:rFonts w:eastAsia="楷体_GB2312"/>
        <w:b/>
        <w:noProof/>
        <w:sz w:val="26"/>
        <w:szCs w:val="26"/>
      </w:rPr>
      <w:t>3</w:t>
    </w:r>
    <w:r>
      <w:rPr>
        <w:rFonts w:eastAsia="楷体_GB2312"/>
        <w:b/>
        <w:sz w:val="26"/>
        <w:szCs w:val="26"/>
      </w:rPr>
      <w:fldChar w:fldCharType="end"/>
    </w:r>
    <w:r>
      <w:rPr>
        <w:rFonts w:eastAsia="楷体_GB2312"/>
        <w:b/>
        <w:sz w:val="26"/>
        <w:szCs w:val="26"/>
      </w:rPr>
      <w:t>页</w:t>
    </w:r>
    <w:r>
      <w:rPr>
        <w:rFonts w:eastAsia="楷体_GB2312"/>
        <w:b/>
        <w:sz w:val="26"/>
        <w:szCs w:val="26"/>
      </w:rPr>
      <w:t>,</w:t>
    </w:r>
    <w:r>
      <w:rPr>
        <w:rFonts w:eastAsia="楷体_GB2312"/>
        <w:b/>
        <w:sz w:val="26"/>
        <w:szCs w:val="26"/>
      </w:rPr>
      <w:t>共</w:t>
    </w:r>
    <w:r>
      <w:rPr>
        <w:rFonts w:eastAsia="楷体_GB2312"/>
        <w:b/>
        <w:sz w:val="26"/>
        <w:szCs w:val="26"/>
      </w:rPr>
      <w:fldChar w:fldCharType="begin"/>
    </w:r>
    <w:r>
      <w:rPr>
        <w:rFonts w:eastAsia="楷体_GB2312"/>
        <w:b/>
        <w:sz w:val="26"/>
        <w:szCs w:val="26"/>
      </w:rPr>
      <w:instrText xml:space="preserve"> NUMPAGES   \* MERGEFORMAT </w:instrText>
    </w:r>
    <w:r>
      <w:rPr>
        <w:rFonts w:eastAsia="楷体_GB2312"/>
        <w:b/>
        <w:sz w:val="26"/>
        <w:szCs w:val="26"/>
      </w:rPr>
      <w:fldChar w:fldCharType="separate"/>
    </w:r>
    <w:r w:rsidR="007D447D">
      <w:rPr>
        <w:rFonts w:eastAsia="楷体_GB2312"/>
        <w:b/>
        <w:noProof/>
        <w:sz w:val="26"/>
        <w:szCs w:val="26"/>
      </w:rPr>
      <w:t>5</w:t>
    </w:r>
    <w:r>
      <w:rPr>
        <w:rFonts w:eastAsia="楷体_GB2312"/>
        <w:b/>
        <w:sz w:val="26"/>
        <w:szCs w:val="26"/>
      </w:rPr>
      <w:fldChar w:fldCharType="end"/>
    </w:r>
    <w:r>
      <w:rPr>
        <w:rFonts w:eastAsia="楷体_GB2312"/>
        <w:b/>
        <w:sz w:val="26"/>
        <w:szCs w:val="26"/>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049E" w14:textId="77777777" w:rsidR="00247ED1" w:rsidRDefault="00247ED1">
      <w:r>
        <w:separator/>
      </w:r>
    </w:p>
  </w:footnote>
  <w:footnote w:type="continuationSeparator" w:id="0">
    <w:p w14:paraId="35CB1024" w14:textId="77777777" w:rsidR="00247ED1" w:rsidRDefault="00247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F649" w14:textId="77777777" w:rsidR="00B1355D" w:rsidRDefault="00B1355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9B36" w14:textId="77777777" w:rsidR="003C22A7" w:rsidRDefault="003C22A7">
    <w:pPr>
      <w:pStyle w:val="a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9E0F" w14:textId="77777777" w:rsidR="00B1355D" w:rsidRDefault="00B1355D">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7A0C" w14:textId="77777777" w:rsidR="003C22A7" w:rsidRDefault="00A449BF">
    <w:pPr>
      <w:rPr>
        <w:rFonts w:ascii="方正小标宋简体" w:eastAsia="方正小标宋简体"/>
        <w:spacing w:val="24"/>
        <w:w w:val="90"/>
        <w:sz w:val="48"/>
        <w:szCs w:val="48"/>
      </w:rPr>
    </w:pPr>
    <w:r>
      <w:rPr>
        <w:noProof/>
      </w:rPr>
      <w:drawing>
        <wp:inline distT="0" distB="0" distL="0" distR="0" wp14:anchorId="53BC358B" wp14:editId="765EF0C1">
          <wp:extent cx="971550" cy="952500"/>
          <wp:effectExtent l="0" t="0" r="0" b="0"/>
          <wp:docPr id="7" name="图片 7" descr="xky_sxau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xky_sxau_02"/>
                  <pic:cNvPicPr>
                    <a:picLocks noChangeAspect="1" noChangeArrowheads="1"/>
                  </pic:cNvPicPr>
                </pic:nvPicPr>
                <pic:blipFill>
                  <a:blip r:embed="rId1">
                    <a:grayscl/>
                    <a:extLst>
                      <a:ext uri="{28A0092B-C50C-407E-A947-70E740481C1C}">
                        <a14:useLocalDpi xmlns:a14="http://schemas.microsoft.com/office/drawing/2010/main" val="0"/>
                      </a:ext>
                    </a:extLst>
                  </a:blip>
                  <a:srcRect l="1865" t="14932" r="76868" b="9703"/>
                  <a:stretch>
                    <a:fillRect/>
                  </a:stretch>
                </pic:blipFill>
                <pic:spPr>
                  <a:xfrm>
                    <a:off x="0" y="0"/>
                    <a:ext cx="971550" cy="952500"/>
                  </a:xfrm>
                  <a:prstGeom prst="rect">
                    <a:avLst/>
                  </a:prstGeom>
                  <a:noFill/>
                  <a:ln>
                    <a:noFill/>
                  </a:ln>
                </pic:spPr>
              </pic:pic>
            </a:graphicData>
          </a:graphic>
        </wp:inline>
      </w:drawing>
    </w:r>
    <w:r>
      <w:t xml:space="preserve">   </w:t>
    </w:r>
    <w:r>
      <w:rPr>
        <w:rFonts w:ascii="方正小标宋简体" w:eastAsia="方正小标宋简体" w:hint="eastAsia"/>
        <w:spacing w:val="24"/>
        <w:w w:val="90"/>
        <w:sz w:val="48"/>
        <w:szCs w:val="48"/>
      </w:rPr>
      <w:t>信息科学与工程学院实验报告单</w:t>
    </w:r>
  </w:p>
  <w:p w14:paraId="605BF3A0" w14:textId="77777777" w:rsidR="003C22A7" w:rsidRDefault="003C22A7">
    <w:pPr>
      <w:spacing w:line="240" w:lineRule="exact"/>
      <w:jc w:val="center"/>
      <w:rPr>
        <w:rFonts w:ascii="楷体_GB2312" w:eastAsia="楷体_GB2312"/>
        <w:b/>
        <w:spacing w:val="24"/>
        <w:w w:val="90"/>
        <w:sz w:val="28"/>
        <w:szCs w:val="28"/>
      </w:rPr>
    </w:pPr>
  </w:p>
  <w:tbl>
    <w:tblPr>
      <w:tblStyle w:val="a7"/>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1119"/>
      <w:gridCol w:w="834"/>
      <w:gridCol w:w="1751"/>
      <w:gridCol w:w="853"/>
      <w:gridCol w:w="1168"/>
      <w:gridCol w:w="1383"/>
      <w:gridCol w:w="1558"/>
    </w:tblGrid>
    <w:tr w:rsidR="00B1355D" w14:paraId="79E88CDF" w14:textId="77777777" w:rsidTr="005A2F63">
      <w:tc>
        <w:tcPr>
          <w:tcW w:w="438" w:type="pct"/>
          <w:vAlign w:val="center"/>
        </w:tcPr>
        <w:p w14:paraId="429E3617" w14:textId="77777777" w:rsidR="003C22A7" w:rsidRDefault="00A449BF" w:rsidP="00B1355D">
          <w:pPr>
            <w:jc w:val="center"/>
            <w:rPr>
              <w:rFonts w:eastAsia="楷体"/>
              <w:b/>
              <w:sz w:val="26"/>
              <w:szCs w:val="26"/>
            </w:rPr>
          </w:pPr>
          <w:r>
            <w:rPr>
              <w:rFonts w:eastAsia="楷体" w:hint="eastAsia"/>
              <w:b/>
              <w:sz w:val="26"/>
              <w:szCs w:val="26"/>
            </w:rPr>
            <w:t>班级</w:t>
          </w:r>
          <w:r>
            <w:rPr>
              <w:rFonts w:eastAsia="楷体" w:hint="eastAsia"/>
              <w:b/>
              <w:sz w:val="26"/>
              <w:szCs w:val="26"/>
            </w:rPr>
            <w:t>:</w:t>
          </w:r>
        </w:p>
      </w:tc>
      <w:tc>
        <w:tcPr>
          <w:tcW w:w="589" w:type="pct"/>
          <w:vAlign w:val="center"/>
        </w:tcPr>
        <w:p w14:paraId="4A8DD896" w14:textId="6B934F22" w:rsidR="003C22A7" w:rsidRDefault="00BB4872" w:rsidP="000B3417">
          <w:pPr>
            <w:rPr>
              <w:rFonts w:eastAsia="楷体"/>
              <w:b/>
              <w:sz w:val="26"/>
              <w:szCs w:val="26"/>
            </w:rPr>
          </w:pPr>
        </w:p>
      </w:tc>
      <w:tc>
        <w:tcPr>
          <w:tcW w:w="439" w:type="pct"/>
          <w:vAlign w:val="center"/>
        </w:tcPr>
        <w:p w14:paraId="3EBAD03A" w14:textId="77777777" w:rsidR="003C22A7" w:rsidRDefault="00A449BF" w:rsidP="00B1355D">
          <w:pPr>
            <w:jc w:val="center"/>
            <w:rPr>
              <w:rFonts w:eastAsia="楷体"/>
              <w:b/>
              <w:sz w:val="26"/>
              <w:szCs w:val="26"/>
            </w:rPr>
          </w:pPr>
          <w:r>
            <w:rPr>
              <w:rFonts w:eastAsia="楷体" w:hint="eastAsia"/>
              <w:b/>
              <w:sz w:val="26"/>
              <w:szCs w:val="26"/>
            </w:rPr>
            <w:t>学号</w:t>
          </w:r>
          <w:r>
            <w:rPr>
              <w:rFonts w:eastAsia="楷体" w:hint="eastAsia"/>
              <w:b/>
              <w:sz w:val="26"/>
              <w:szCs w:val="26"/>
            </w:rPr>
            <w:t>:</w:t>
          </w:r>
        </w:p>
      </w:tc>
      <w:tc>
        <w:tcPr>
          <w:tcW w:w="922" w:type="pct"/>
          <w:vAlign w:val="center"/>
        </w:tcPr>
        <w:p w14:paraId="1FD323D4" w14:textId="0FCB76C9" w:rsidR="003C22A7" w:rsidRDefault="00B1355D" w:rsidP="00B1355D">
          <w:pPr>
            <w:jc w:val="center"/>
            <w:rPr>
              <w:rFonts w:eastAsia="楷体"/>
              <w:b/>
              <w:sz w:val="26"/>
              <w:szCs w:val="26"/>
            </w:rPr>
          </w:pPr>
        </w:p>
      </w:tc>
      <w:tc>
        <w:tcPr>
          <w:tcW w:w="449" w:type="pct"/>
          <w:vAlign w:val="center"/>
        </w:tcPr>
        <w:p w14:paraId="02123EEE" w14:textId="77777777" w:rsidR="003C22A7" w:rsidRDefault="00A449BF" w:rsidP="00B1355D">
          <w:pPr>
            <w:jc w:val="center"/>
            <w:rPr>
              <w:rFonts w:eastAsia="楷体"/>
              <w:b/>
              <w:sz w:val="26"/>
              <w:szCs w:val="26"/>
            </w:rPr>
          </w:pPr>
          <w:r>
            <w:rPr>
              <w:rFonts w:eastAsia="楷体" w:hint="eastAsia"/>
              <w:b/>
              <w:sz w:val="26"/>
              <w:szCs w:val="26"/>
            </w:rPr>
            <w:t>姓名</w:t>
          </w:r>
          <w:r>
            <w:rPr>
              <w:rFonts w:eastAsia="楷体" w:hint="eastAsia"/>
              <w:b/>
              <w:sz w:val="26"/>
              <w:szCs w:val="26"/>
            </w:rPr>
            <w:t>:</w:t>
          </w:r>
        </w:p>
      </w:tc>
      <w:tc>
        <w:tcPr>
          <w:tcW w:w="615" w:type="pct"/>
          <w:vAlign w:val="center"/>
        </w:tcPr>
        <w:p w14:paraId="1104EBCF" w14:textId="181099D8" w:rsidR="003C22A7" w:rsidRDefault="00B1355D" w:rsidP="00B1355D">
          <w:pPr>
            <w:jc w:val="center"/>
            <w:rPr>
              <w:rFonts w:eastAsia="楷体"/>
              <w:b/>
              <w:sz w:val="26"/>
              <w:szCs w:val="26"/>
            </w:rPr>
          </w:pPr>
        </w:p>
      </w:tc>
      <w:tc>
        <w:tcPr>
          <w:tcW w:w="728" w:type="pct"/>
          <w:vAlign w:val="center"/>
        </w:tcPr>
        <w:p w14:paraId="04D71249" w14:textId="77777777" w:rsidR="003C22A7" w:rsidRDefault="00A449BF" w:rsidP="00B1355D">
          <w:pPr>
            <w:jc w:val="center"/>
            <w:rPr>
              <w:rFonts w:eastAsia="楷体"/>
              <w:b/>
              <w:sz w:val="26"/>
              <w:szCs w:val="26"/>
            </w:rPr>
          </w:pPr>
          <w:r>
            <w:rPr>
              <w:rFonts w:eastAsia="楷体" w:hint="eastAsia"/>
              <w:b/>
              <w:sz w:val="26"/>
              <w:szCs w:val="26"/>
            </w:rPr>
            <w:t>实验日期</w:t>
          </w:r>
          <w:r>
            <w:rPr>
              <w:rFonts w:eastAsia="楷体" w:hint="eastAsia"/>
              <w:b/>
              <w:sz w:val="26"/>
              <w:szCs w:val="26"/>
            </w:rPr>
            <w:t>:</w:t>
          </w:r>
        </w:p>
      </w:tc>
      <w:tc>
        <w:tcPr>
          <w:tcW w:w="820" w:type="pct"/>
          <w:vAlign w:val="center"/>
        </w:tcPr>
        <w:p w14:paraId="49E539D5" w14:textId="767A37EF" w:rsidR="003C22A7" w:rsidRDefault="00A449BF" w:rsidP="00B1355D">
          <w:pPr>
            <w:jc w:val="center"/>
            <w:rPr>
              <w:rFonts w:eastAsia="楷体" w:hint="eastAsia"/>
              <w:b/>
              <w:sz w:val="26"/>
              <w:szCs w:val="26"/>
            </w:rPr>
          </w:pPr>
        </w:p>
      </w:tc>
    </w:tr>
  </w:tbl>
  <w:p w14:paraId="697147D0" w14:textId="77777777" w:rsidR="003C22A7" w:rsidRDefault="003C22A7">
    <w:pPr>
      <w:rPr>
        <w:rFonts w:eastAsia="楷体"/>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B5E306ED"/>
    <w:multiLevelType w:val="multilevel"/>
    <w:tmpl w:val="B5E306ED"/>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BF205925"/>
    <w:multiLevelType w:val="multilevel"/>
    <w:tmpl w:val="BF205925"/>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248C179"/>
    <w:multiLevelType w:val="multilevel"/>
    <w:tmpl w:val="0248C179"/>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3D62ECE"/>
    <w:multiLevelType w:val="multilevel"/>
    <w:tmpl w:val="03D62E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14356B25"/>
    <w:multiLevelType w:val="multilevel"/>
    <w:tmpl w:val="14356B2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25B654F3"/>
    <w:multiLevelType w:val="multilevel"/>
    <w:tmpl w:val="25B654F3"/>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A8F537B"/>
    <w:multiLevelType w:val="multilevel"/>
    <w:tmpl w:val="2A8F537B"/>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9ADCABA"/>
    <w:multiLevelType w:val="multilevel"/>
    <w:tmpl w:val="59ADC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A241D34"/>
    <w:multiLevelType w:val="multilevel"/>
    <w:tmpl w:val="5A241D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6A5509FC"/>
    <w:multiLevelType w:val="multilevel"/>
    <w:tmpl w:val="6A5509FC"/>
    <w:lvl w:ilvl="0">
      <w:start w:val="1"/>
      <w:numFmt w:val="decimal"/>
      <w:lvlText w:val="%1)"/>
      <w:lvlJc w:val="left"/>
      <w:pPr>
        <w:ind w:left="981" w:hanging="420"/>
      </w:p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11" w15:restartNumberingAfterBreak="0">
    <w:nsid w:val="72183CF9"/>
    <w:multiLevelType w:val="multilevel"/>
    <w:tmpl w:val="72183CF9"/>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95080609">
    <w:abstractNumId w:val="10"/>
  </w:num>
  <w:num w:numId="2" w16cid:durableId="572013149">
    <w:abstractNumId w:val="5"/>
  </w:num>
  <w:num w:numId="3" w16cid:durableId="1755979746">
    <w:abstractNumId w:val="8"/>
  </w:num>
  <w:num w:numId="4" w16cid:durableId="966202407">
    <w:abstractNumId w:val="2"/>
  </w:num>
  <w:num w:numId="5" w16cid:durableId="2145072962">
    <w:abstractNumId w:val="1"/>
  </w:num>
  <w:num w:numId="6" w16cid:durableId="700400046">
    <w:abstractNumId w:val="4"/>
  </w:num>
  <w:num w:numId="7" w16cid:durableId="1789425449">
    <w:abstractNumId w:val="6"/>
  </w:num>
  <w:num w:numId="8" w16cid:durableId="950287729">
    <w:abstractNumId w:val="11"/>
  </w:num>
  <w:num w:numId="9" w16cid:durableId="2032875924">
    <w:abstractNumId w:val="3"/>
  </w:num>
  <w:num w:numId="10" w16cid:durableId="719941885">
    <w:abstractNumId w:val="0"/>
  </w:num>
  <w:num w:numId="11" w16cid:durableId="1466392817">
    <w:abstractNumId w:val="7"/>
  </w:num>
  <w:num w:numId="12" w16cid:durableId="916204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F5"/>
    <w:rsid w:val="00004109"/>
    <w:rsid w:val="0002117E"/>
    <w:rsid w:val="00026D95"/>
    <w:rsid w:val="00030A1F"/>
    <w:rsid w:val="00033539"/>
    <w:rsid w:val="0004659F"/>
    <w:rsid w:val="00052F2B"/>
    <w:rsid w:val="000621F4"/>
    <w:rsid w:val="000714F7"/>
    <w:rsid w:val="00076E36"/>
    <w:rsid w:val="00077D38"/>
    <w:rsid w:val="00080030"/>
    <w:rsid w:val="00091F6B"/>
    <w:rsid w:val="000931F8"/>
    <w:rsid w:val="00093483"/>
    <w:rsid w:val="000B00B5"/>
    <w:rsid w:val="000B3417"/>
    <w:rsid w:val="000C51FC"/>
    <w:rsid w:val="000D1CA6"/>
    <w:rsid w:val="000D3EF4"/>
    <w:rsid w:val="000E1131"/>
    <w:rsid w:val="000E6E3E"/>
    <w:rsid w:val="00114AF0"/>
    <w:rsid w:val="00121340"/>
    <w:rsid w:val="00141C9A"/>
    <w:rsid w:val="00147560"/>
    <w:rsid w:val="00163C76"/>
    <w:rsid w:val="00173F1A"/>
    <w:rsid w:val="001763DC"/>
    <w:rsid w:val="00187019"/>
    <w:rsid w:val="00187568"/>
    <w:rsid w:val="001C729B"/>
    <w:rsid w:val="002061D1"/>
    <w:rsid w:val="00211BA8"/>
    <w:rsid w:val="00226FF1"/>
    <w:rsid w:val="00235024"/>
    <w:rsid w:val="0024210F"/>
    <w:rsid w:val="00247ED1"/>
    <w:rsid w:val="00253A6D"/>
    <w:rsid w:val="002553F5"/>
    <w:rsid w:val="00260E46"/>
    <w:rsid w:val="00261867"/>
    <w:rsid w:val="00264231"/>
    <w:rsid w:val="0026607F"/>
    <w:rsid w:val="00270495"/>
    <w:rsid w:val="002816D5"/>
    <w:rsid w:val="002A4C89"/>
    <w:rsid w:val="002C1A50"/>
    <w:rsid w:val="002C6A9F"/>
    <w:rsid w:val="00300C6F"/>
    <w:rsid w:val="00305163"/>
    <w:rsid w:val="00322DA8"/>
    <w:rsid w:val="00331A3F"/>
    <w:rsid w:val="00331A81"/>
    <w:rsid w:val="00341670"/>
    <w:rsid w:val="003420A1"/>
    <w:rsid w:val="00342739"/>
    <w:rsid w:val="003444F6"/>
    <w:rsid w:val="0035372F"/>
    <w:rsid w:val="00357085"/>
    <w:rsid w:val="00363B98"/>
    <w:rsid w:val="003662AD"/>
    <w:rsid w:val="00385F0B"/>
    <w:rsid w:val="003862AE"/>
    <w:rsid w:val="003B7AB9"/>
    <w:rsid w:val="003C1ECF"/>
    <w:rsid w:val="003C22A7"/>
    <w:rsid w:val="003C3AE9"/>
    <w:rsid w:val="003D09FF"/>
    <w:rsid w:val="003E43A2"/>
    <w:rsid w:val="003F568B"/>
    <w:rsid w:val="004027FC"/>
    <w:rsid w:val="004178E2"/>
    <w:rsid w:val="004205F9"/>
    <w:rsid w:val="00431F24"/>
    <w:rsid w:val="00436B21"/>
    <w:rsid w:val="00451FCD"/>
    <w:rsid w:val="00474D0B"/>
    <w:rsid w:val="00480CA8"/>
    <w:rsid w:val="00492B7D"/>
    <w:rsid w:val="00493D7E"/>
    <w:rsid w:val="004A08FB"/>
    <w:rsid w:val="004A398C"/>
    <w:rsid w:val="004A5613"/>
    <w:rsid w:val="004A6D94"/>
    <w:rsid w:val="004B1ABF"/>
    <w:rsid w:val="004B39AC"/>
    <w:rsid w:val="004C1399"/>
    <w:rsid w:val="004F3A8E"/>
    <w:rsid w:val="0052616F"/>
    <w:rsid w:val="005311B3"/>
    <w:rsid w:val="00534B48"/>
    <w:rsid w:val="005404F2"/>
    <w:rsid w:val="0054204A"/>
    <w:rsid w:val="00545169"/>
    <w:rsid w:val="00555C65"/>
    <w:rsid w:val="00557A62"/>
    <w:rsid w:val="005600FA"/>
    <w:rsid w:val="0056480C"/>
    <w:rsid w:val="005657BB"/>
    <w:rsid w:val="005714BC"/>
    <w:rsid w:val="005735F2"/>
    <w:rsid w:val="00574ECD"/>
    <w:rsid w:val="0058183F"/>
    <w:rsid w:val="005841BB"/>
    <w:rsid w:val="00590295"/>
    <w:rsid w:val="005947D3"/>
    <w:rsid w:val="00594852"/>
    <w:rsid w:val="005A2F63"/>
    <w:rsid w:val="005B11F1"/>
    <w:rsid w:val="005B2DB8"/>
    <w:rsid w:val="005B49C5"/>
    <w:rsid w:val="005B4AC9"/>
    <w:rsid w:val="005F3C86"/>
    <w:rsid w:val="005F53BD"/>
    <w:rsid w:val="00611493"/>
    <w:rsid w:val="00615A85"/>
    <w:rsid w:val="006232F1"/>
    <w:rsid w:val="006263F4"/>
    <w:rsid w:val="00640CEF"/>
    <w:rsid w:val="0065321A"/>
    <w:rsid w:val="00663230"/>
    <w:rsid w:val="006638E1"/>
    <w:rsid w:val="00671293"/>
    <w:rsid w:val="0067325A"/>
    <w:rsid w:val="006A0351"/>
    <w:rsid w:val="006A085A"/>
    <w:rsid w:val="006A6DDC"/>
    <w:rsid w:val="006D004C"/>
    <w:rsid w:val="006E3749"/>
    <w:rsid w:val="006E625F"/>
    <w:rsid w:val="006E636B"/>
    <w:rsid w:val="006F1280"/>
    <w:rsid w:val="006F1582"/>
    <w:rsid w:val="006F3F8C"/>
    <w:rsid w:val="006F4ED1"/>
    <w:rsid w:val="00706174"/>
    <w:rsid w:val="00713D23"/>
    <w:rsid w:val="007235A2"/>
    <w:rsid w:val="00726C7A"/>
    <w:rsid w:val="00761F61"/>
    <w:rsid w:val="00762F21"/>
    <w:rsid w:val="00767399"/>
    <w:rsid w:val="00774ED6"/>
    <w:rsid w:val="00797F09"/>
    <w:rsid w:val="007A2414"/>
    <w:rsid w:val="007A7EFD"/>
    <w:rsid w:val="007B5B25"/>
    <w:rsid w:val="007B7B78"/>
    <w:rsid w:val="007D447D"/>
    <w:rsid w:val="00803855"/>
    <w:rsid w:val="00813E7B"/>
    <w:rsid w:val="008273E0"/>
    <w:rsid w:val="00845BB4"/>
    <w:rsid w:val="00862502"/>
    <w:rsid w:val="00867089"/>
    <w:rsid w:val="0087682C"/>
    <w:rsid w:val="00877152"/>
    <w:rsid w:val="00886A50"/>
    <w:rsid w:val="00896DD0"/>
    <w:rsid w:val="008A3EB1"/>
    <w:rsid w:val="008C2254"/>
    <w:rsid w:val="008C234A"/>
    <w:rsid w:val="008C324A"/>
    <w:rsid w:val="008D01CE"/>
    <w:rsid w:val="008D421D"/>
    <w:rsid w:val="008E2961"/>
    <w:rsid w:val="008E50CE"/>
    <w:rsid w:val="008F3B4A"/>
    <w:rsid w:val="0090036B"/>
    <w:rsid w:val="00914357"/>
    <w:rsid w:val="0091536C"/>
    <w:rsid w:val="00915A2B"/>
    <w:rsid w:val="00941ECE"/>
    <w:rsid w:val="00942A86"/>
    <w:rsid w:val="00950373"/>
    <w:rsid w:val="009562B7"/>
    <w:rsid w:val="00956CF4"/>
    <w:rsid w:val="00980CE2"/>
    <w:rsid w:val="00983862"/>
    <w:rsid w:val="009847A7"/>
    <w:rsid w:val="00990150"/>
    <w:rsid w:val="00995B78"/>
    <w:rsid w:val="009A7244"/>
    <w:rsid w:val="009B1BFC"/>
    <w:rsid w:val="009B1DDF"/>
    <w:rsid w:val="009C03DC"/>
    <w:rsid w:val="009C2010"/>
    <w:rsid w:val="009D0753"/>
    <w:rsid w:val="009D1E8E"/>
    <w:rsid w:val="009D2674"/>
    <w:rsid w:val="009E02B6"/>
    <w:rsid w:val="009F0222"/>
    <w:rsid w:val="00A030D7"/>
    <w:rsid w:val="00A1052F"/>
    <w:rsid w:val="00A32A43"/>
    <w:rsid w:val="00A35880"/>
    <w:rsid w:val="00A449BF"/>
    <w:rsid w:val="00A73B80"/>
    <w:rsid w:val="00A80C61"/>
    <w:rsid w:val="00AA57B6"/>
    <w:rsid w:val="00AC20BF"/>
    <w:rsid w:val="00AC4984"/>
    <w:rsid w:val="00AE3F66"/>
    <w:rsid w:val="00AE7DB2"/>
    <w:rsid w:val="00AF25F2"/>
    <w:rsid w:val="00AF6408"/>
    <w:rsid w:val="00B03E1E"/>
    <w:rsid w:val="00B1355D"/>
    <w:rsid w:val="00B2656F"/>
    <w:rsid w:val="00B34C18"/>
    <w:rsid w:val="00B36EB3"/>
    <w:rsid w:val="00B43CCF"/>
    <w:rsid w:val="00B50AB5"/>
    <w:rsid w:val="00B5208F"/>
    <w:rsid w:val="00B56EAD"/>
    <w:rsid w:val="00B72FE2"/>
    <w:rsid w:val="00B854FE"/>
    <w:rsid w:val="00B865FA"/>
    <w:rsid w:val="00BA3E4A"/>
    <w:rsid w:val="00BB4872"/>
    <w:rsid w:val="00BB4C1F"/>
    <w:rsid w:val="00BC5A45"/>
    <w:rsid w:val="00BD6975"/>
    <w:rsid w:val="00BE6CEE"/>
    <w:rsid w:val="00BE7774"/>
    <w:rsid w:val="00BF276F"/>
    <w:rsid w:val="00C04BD6"/>
    <w:rsid w:val="00C06B6D"/>
    <w:rsid w:val="00C119E3"/>
    <w:rsid w:val="00C22A50"/>
    <w:rsid w:val="00C350A2"/>
    <w:rsid w:val="00C4625F"/>
    <w:rsid w:val="00C747BA"/>
    <w:rsid w:val="00C8401A"/>
    <w:rsid w:val="00C843BA"/>
    <w:rsid w:val="00C94AE8"/>
    <w:rsid w:val="00CA1D35"/>
    <w:rsid w:val="00CB6B2F"/>
    <w:rsid w:val="00CD4F21"/>
    <w:rsid w:val="00CD63A0"/>
    <w:rsid w:val="00CD7D3A"/>
    <w:rsid w:val="00CF0D24"/>
    <w:rsid w:val="00CF4BBE"/>
    <w:rsid w:val="00D00F84"/>
    <w:rsid w:val="00D30E53"/>
    <w:rsid w:val="00D31B51"/>
    <w:rsid w:val="00D35041"/>
    <w:rsid w:val="00D446C3"/>
    <w:rsid w:val="00D45257"/>
    <w:rsid w:val="00D633BE"/>
    <w:rsid w:val="00DA27B9"/>
    <w:rsid w:val="00DD1B64"/>
    <w:rsid w:val="00DF7107"/>
    <w:rsid w:val="00E07B9A"/>
    <w:rsid w:val="00E24C89"/>
    <w:rsid w:val="00E24EF1"/>
    <w:rsid w:val="00E316DC"/>
    <w:rsid w:val="00E528BF"/>
    <w:rsid w:val="00E53A88"/>
    <w:rsid w:val="00E56C4D"/>
    <w:rsid w:val="00E572E6"/>
    <w:rsid w:val="00E609CA"/>
    <w:rsid w:val="00E63E29"/>
    <w:rsid w:val="00E76237"/>
    <w:rsid w:val="00E80286"/>
    <w:rsid w:val="00E810DA"/>
    <w:rsid w:val="00E824A9"/>
    <w:rsid w:val="00E913E7"/>
    <w:rsid w:val="00E92300"/>
    <w:rsid w:val="00E92F6B"/>
    <w:rsid w:val="00E93C74"/>
    <w:rsid w:val="00EA0D14"/>
    <w:rsid w:val="00EA6505"/>
    <w:rsid w:val="00ED533B"/>
    <w:rsid w:val="00ED73C3"/>
    <w:rsid w:val="00EE53DE"/>
    <w:rsid w:val="00EE649E"/>
    <w:rsid w:val="00EF0D4E"/>
    <w:rsid w:val="00EF6754"/>
    <w:rsid w:val="00F032CC"/>
    <w:rsid w:val="00F12D7A"/>
    <w:rsid w:val="00F23288"/>
    <w:rsid w:val="00F2614D"/>
    <w:rsid w:val="00F33F4F"/>
    <w:rsid w:val="00F42572"/>
    <w:rsid w:val="00F450E6"/>
    <w:rsid w:val="00F50EC6"/>
    <w:rsid w:val="00F81CB5"/>
    <w:rsid w:val="00F84AE2"/>
    <w:rsid w:val="00F86822"/>
    <w:rsid w:val="00F91A52"/>
    <w:rsid w:val="00F92A33"/>
    <w:rsid w:val="00F95CBD"/>
    <w:rsid w:val="00FA2F43"/>
    <w:rsid w:val="00FC5E92"/>
    <w:rsid w:val="00FD1263"/>
    <w:rsid w:val="00FD2358"/>
    <w:rsid w:val="00FD65D1"/>
    <w:rsid w:val="00FD6D7F"/>
    <w:rsid w:val="00FE6DB7"/>
    <w:rsid w:val="00FF02BC"/>
    <w:rsid w:val="530B14BA"/>
    <w:rsid w:val="5F83780C"/>
    <w:rsid w:val="6C735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761F2"/>
  <w15:docId w15:val="{3F55B012-A54B-4ABE-9D6F-CF2BD3B0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next w:val="a"/>
    <w:link w:val="10"/>
    <w:qFormat/>
    <w:pPr>
      <w:keepNext/>
      <w:keepLines/>
      <w:spacing w:beforeLines="10" w:before="10" w:line="400" w:lineRule="exact"/>
      <w:outlineLvl w:val="0"/>
    </w:pPr>
    <w:rPr>
      <w:rFonts w:eastAsia="楷体"/>
      <w:b/>
      <w:bCs/>
      <w:kern w:val="44"/>
      <w:sz w:val="24"/>
      <w:szCs w:val="44"/>
    </w:rPr>
  </w:style>
  <w:style w:type="paragraph" w:styleId="3">
    <w:name w:val="heading 3"/>
    <w:basedOn w:val="a"/>
    <w:next w:val="a"/>
    <w:link w:val="30"/>
    <w:semiHidden/>
    <w:unhideWhenUsed/>
    <w:qFormat/>
    <w:rsid w:val="007D447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lang w:val="zh-CN"/>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lang w:val="zh-CN"/>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Pr>
      <w:b/>
      <w:bCs/>
    </w:rPr>
  </w:style>
  <w:style w:type="character" w:customStyle="1" w:styleId="a6">
    <w:name w:val="页眉 字符"/>
    <w:link w:val="a5"/>
    <w:qFormat/>
    <w:rPr>
      <w:kern w:val="2"/>
      <w:sz w:val="18"/>
      <w:szCs w:val="18"/>
    </w:rPr>
  </w:style>
  <w:style w:type="character" w:customStyle="1" w:styleId="a4">
    <w:name w:val="页脚 字符"/>
    <w:link w:val="a3"/>
    <w:qFormat/>
    <w:rPr>
      <w:kern w:val="2"/>
      <w:sz w:val="18"/>
      <w:szCs w:val="18"/>
    </w:rPr>
  </w:style>
  <w:style w:type="character" w:customStyle="1" w:styleId="10">
    <w:name w:val="标题 1 字符"/>
    <w:link w:val="1"/>
    <w:qFormat/>
    <w:rPr>
      <w:rFonts w:eastAsia="楷体"/>
      <w:b/>
      <w:bCs/>
      <w:kern w:val="44"/>
      <w:sz w:val="24"/>
      <w:szCs w:val="44"/>
      <w:lang w:bidi="ar-SA"/>
    </w:rPr>
  </w:style>
  <w:style w:type="paragraph" w:styleId="a9">
    <w:name w:val="List Paragraph"/>
    <w:basedOn w:val="a"/>
    <w:uiPriority w:val="34"/>
    <w:qFormat/>
    <w:pPr>
      <w:ind w:firstLineChars="200" w:firstLine="420"/>
    </w:pPr>
  </w:style>
  <w:style w:type="character" w:customStyle="1" w:styleId="30">
    <w:name w:val="标题 3 字符"/>
    <w:basedOn w:val="a0"/>
    <w:link w:val="3"/>
    <w:semiHidden/>
    <w:rsid w:val="007D447D"/>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1061</Words>
  <Characters>1254</Characters>
  <Application>Microsoft Office Word</Application>
  <DocSecurity>0</DocSecurity>
  <Lines>73</Lines>
  <Paragraphs>74</Paragraphs>
  <ScaleCrop>false</ScaleCrop>
  <Company>微软中国</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山西农业大学软件学院实验报告单</dc:title>
  <dc:creator>微软用户</dc:creator>
  <cp:lastModifiedBy>hannah78@163.com</cp:lastModifiedBy>
  <cp:revision>21</cp:revision>
  <cp:lastPrinted>2018-03-08T09:21:00Z</cp:lastPrinted>
  <dcterms:created xsi:type="dcterms:W3CDTF">2023-06-26T09:42:00Z</dcterms:created>
  <dcterms:modified xsi:type="dcterms:W3CDTF">2025-10-31T14:16:00Z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eyJoZGlkIjoiN2YzNjBkOTgyNWQ1YTMxYzM3MzMwNWFiODNmOWIzYWMiLCJ1c2VySWQiOiI5NDk2ODc4NjQifQ==</vt:lpwstr>
  </property>
  <property fmtid="{D5CDD505-2E9C-101B-9397-08002B2CF9AE}" pid="3" name="KSOProductBuildVer">
    <vt:lpwstr>2052-12.1.0.22529</vt:lpwstr>
  </property>
  <property fmtid="{D5CDD505-2E9C-101B-9397-08002B2CF9AE}" pid="4" name="ICV">
    <vt:lpwstr>64078DA307B640E3B2BCACF976953408_12</vt:lpwstr>
  </property>
</Properties>
</file>